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Workforce Hiring Plan</w:t>
      </w:r>
    </w:p>
    <w:p>
      <w:pPr>
        <w:spacing w:after="240"/>
        <w:jc w:val="center"/>
      </w:pPr>
      <w:r>
        <w:rPr>
          <w:rFonts w:ascii="Calibri" w:cs="Calibri" w:eastAsia="Calibri" w:hAnsi="Calibri"/>
          <w:color w:val="5E5A80"/>
          <w:sz w:val="22"/>
          <w:szCs w:val="22"/>
        </w:rPr>
        <w:t xml:space="preserve">Complete one plan per business unit or site for the planning period. Repeat the role section for every job family you hire. Numbers are FTE unless stated. Attach the demand forecast that the targets come from.</w:t>
      </w:r>
    </w:p>
    <w:p>
      <w:pPr>
        <w:pBdr>
          <w:bottom w:val="single" w:color="1A1640" w:sz="12" w:space="2"/>
        </w:pBdr>
        <w:spacing w:before="280" w:after="120"/>
      </w:pPr>
      <w:r>
        <w:rPr>
          <w:rFonts w:ascii="Calibri" w:cs="Calibri" w:eastAsia="Calibri" w:hAnsi="Calibri"/>
          <w:b/>
          <w:bCs/>
          <w:color w:val="1A1640"/>
          <w:sz w:val="20"/>
          <w:szCs w:val="20"/>
        </w:rPr>
        <w:t xml:space="preserve">PLAN OVERVIEW</w:t>
      </w:r>
    </w:p>
    <w:p>
      <w:pPr>
        <w:pBdr>
          <w:bottom w:val="single" w:color="B9B6CF" w:sz="6" w:space="1"/>
        </w:pBdr>
        <w:spacing w:before="120" w:after="60"/>
      </w:pPr>
      <w:r>
        <w:rPr>
          <w:rFonts w:ascii="Calibri" w:cs="Calibri" w:eastAsia="Calibri" w:hAnsi="Calibri"/>
          <w:b/>
          <w:bCs/>
          <w:color w:val="1A1640"/>
          <w:sz w:val="22"/>
          <w:szCs w:val="22"/>
        </w:rPr>
        <w:t xml:space="preserve">Business unit / site:  </w:t>
      </w:r>
    </w:p>
    <w:p>
      <w:pPr>
        <w:pBdr>
          <w:bottom w:val="single" w:color="B9B6CF" w:sz="6" w:space="1"/>
        </w:pBdr>
        <w:spacing w:before="120" w:after="60"/>
      </w:pPr>
      <w:r>
        <w:rPr>
          <w:rFonts w:ascii="Calibri" w:cs="Calibri" w:eastAsia="Calibri" w:hAnsi="Calibri"/>
          <w:b/>
          <w:bCs/>
          <w:color w:val="1A1640"/>
          <w:sz w:val="22"/>
          <w:szCs w:val="22"/>
        </w:rPr>
        <w:t xml:space="preserve">Plan owner (name and title):  </w:t>
      </w:r>
    </w:p>
    <w:p>
      <w:pPr>
        <w:pBdr>
          <w:bottom w:val="single" w:color="B9B6CF" w:sz="6" w:space="1"/>
        </w:pBdr>
        <w:spacing w:before="120" w:after="60"/>
      </w:pPr>
      <w:r>
        <w:rPr>
          <w:rFonts w:ascii="Calibri" w:cs="Calibri" w:eastAsia="Calibri" w:hAnsi="Calibri"/>
          <w:b/>
          <w:bCs/>
          <w:color w:val="1A1640"/>
          <w:sz w:val="22"/>
          <w:szCs w:val="22"/>
        </w:rPr>
        <w:t xml:space="preserve">HR business partner:  </w:t>
      </w:r>
    </w:p>
    <w:p>
      <w:pPr>
        <w:pBdr>
          <w:bottom w:val="single" w:color="B9B6CF" w:sz="6" w:space="1"/>
        </w:pBdr>
        <w:spacing w:before="120" w:after="60"/>
      </w:pPr>
      <w:r>
        <w:rPr>
          <w:rFonts w:ascii="Calibri" w:cs="Calibri" w:eastAsia="Calibri" w:hAnsi="Calibri"/>
          <w:b/>
          <w:bCs/>
          <w:color w:val="1A1640"/>
          <w:sz w:val="22"/>
          <w:szCs w:val="22"/>
        </w:rPr>
        <w:t xml:space="preserve">Talent acquisition lead:  </w:t>
      </w:r>
    </w:p>
    <w:p>
      <w:pPr>
        <w:pBdr>
          <w:bottom w:val="single" w:color="B9B6CF" w:sz="6" w:space="1"/>
        </w:pBdr>
        <w:spacing w:before="120" w:after="60"/>
      </w:pPr>
      <w:r>
        <w:rPr>
          <w:rFonts w:ascii="Calibri" w:cs="Calibri" w:eastAsia="Calibri" w:hAnsi="Calibri"/>
          <w:b/>
          <w:bCs/>
          <w:color w:val="1A1640"/>
          <w:sz w:val="22"/>
          <w:szCs w:val="22"/>
        </w:rPr>
        <w:t xml:space="preserve">Planning period start:  </w:t>
      </w:r>
    </w:p>
    <w:p>
      <w:pPr>
        <w:pBdr>
          <w:bottom w:val="single" w:color="B9B6CF" w:sz="6" w:space="1"/>
        </w:pBdr>
        <w:spacing w:before="120" w:after="60"/>
      </w:pPr>
      <w:r>
        <w:rPr>
          <w:rFonts w:ascii="Calibri" w:cs="Calibri" w:eastAsia="Calibri" w:hAnsi="Calibri"/>
          <w:b/>
          <w:bCs/>
          <w:color w:val="1A1640"/>
          <w:sz w:val="22"/>
          <w:szCs w:val="22"/>
        </w:rPr>
        <w:t xml:space="preserve">Planning period end:  </w:t>
      </w:r>
    </w:p>
    <w:p>
      <w:pPr>
        <w:spacing w:after="120"/>
      </w:pPr>
      <w:r>
        <w:rPr>
          <w:rFonts w:ascii="Calibri" w:cs="Calibri" w:eastAsia="Calibri" w:hAnsi="Calibri"/>
          <w:b/>
          <w:bCs/>
          <w:color w:val="1A1640"/>
          <w:sz w:val="22"/>
          <w:szCs w:val="22"/>
        </w:rPr>
        <w:t xml:space="preserve">Plan type:   </w:t>
      </w:r>
      <w:r>
        <w:rPr>
          <w:rFonts w:ascii="Calibri" w:cs="Calibri" w:eastAsia="Calibri" w:hAnsi="Calibri"/>
          <w:color w:val="1A1640"/>
          <w:sz w:val="22"/>
          <w:szCs w:val="22"/>
        </w:rPr>
        <w:t xml:space="preserve">☐ Annual plan     ☐ Quarterly reforecast     ☐ New site or program launch     ☐ Restructure</w:t>
      </w:r>
    </w:p>
    <w:p>
      <w:pPr>
        <w:pBdr>
          <w:bottom w:val="single" w:color="B9B6CF" w:sz="6" w:space="1"/>
        </w:pBdr>
        <w:spacing w:before="120" w:after="60"/>
      </w:pPr>
      <w:r>
        <w:rPr>
          <w:rFonts w:ascii="Calibri" w:cs="Calibri" w:eastAsia="Calibri" w:hAnsi="Calibri"/>
          <w:b/>
          <w:bCs/>
          <w:color w:val="1A1640"/>
          <w:sz w:val="22"/>
          <w:szCs w:val="22"/>
        </w:rPr>
        <w:t xml:space="preserve">Version and date of this revision:  </w:t>
      </w:r>
    </w:p>
    <w:p>
      <w:pPr>
        <w:pBdr>
          <w:bottom w:val="single" w:color="1A1640" w:sz="12" w:space="2"/>
        </w:pBdr>
        <w:spacing w:before="280" w:after="120"/>
      </w:pPr>
      <w:r>
        <w:rPr>
          <w:rFonts w:ascii="Calibri" w:cs="Calibri" w:eastAsia="Calibri" w:hAnsi="Calibri"/>
          <w:b/>
          <w:bCs/>
          <w:color w:val="1A1640"/>
          <w:sz w:val="20"/>
          <w:szCs w:val="20"/>
        </w:rPr>
        <w:t xml:space="preserve">CURRENT WORKFORCE BASELINE</w:t>
      </w:r>
    </w:p>
    <w:p>
      <w:pPr>
        <w:pBdr>
          <w:bottom w:val="single" w:color="B9B6CF" w:sz="6" w:space="1"/>
        </w:pBdr>
        <w:spacing w:before="120" w:after="60"/>
      </w:pPr>
      <w:r>
        <w:rPr>
          <w:rFonts w:ascii="Calibri" w:cs="Calibri" w:eastAsia="Calibri" w:hAnsi="Calibri"/>
          <w:b/>
          <w:bCs/>
          <w:color w:val="1A1640"/>
          <w:sz w:val="22"/>
          <w:szCs w:val="22"/>
        </w:rPr>
        <w:t xml:space="preserve">Current headcount (people):  </w:t>
      </w:r>
    </w:p>
    <w:p>
      <w:pPr>
        <w:pBdr>
          <w:bottom w:val="single" w:color="B9B6CF" w:sz="6" w:space="1"/>
        </w:pBdr>
        <w:spacing w:before="120" w:after="60"/>
      </w:pPr>
      <w:r>
        <w:rPr>
          <w:rFonts w:ascii="Calibri" w:cs="Calibri" w:eastAsia="Calibri" w:hAnsi="Calibri"/>
          <w:b/>
          <w:bCs/>
          <w:color w:val="1A1640"/>
          <w:sz w:val="22"/>
          <w:szCs w:val="22"/>
        </w:rPr>
        <w:t xml:space="preserve">Current FTE:  </w:t>
      </w:r>
    </w:p>
    <w:p>
      <w:pPr>
        <w:pBdr>
          <w:bottom w:val="single" w:color="B9B6CF" w:sz="6" w:space="1"/>
        </w:pBdr>
        <w:spacing w:before="120" w:after="60"/>
      </w:pPr>
      <w:r>
        <w:rPr>
          <w:rFonts w:ascii="Calibri" w:cs="Calibri" w:eastAsia="Calibri" w:hAnsi="Calibri"/>
          <w:b/>
          <w:bCs/>
          <w:color w:val="1A1640"/>
          <w:sz w:val="22"/>
          <w:szCs w:val="22"/>
        </w:rPr>
        <w:t xml:space="preserve">Open approved requisitions not yet filled:  </w:t>
      </w:r>
    </w:p>
    <w:p>
      <w:pPr>
        <w:pBdr>
          <w:bottom w:val="single" w:color="B9B6CF" w:sz="6" w:space="1"/>
        </w:pBdr>
        <w:spacing w:before="120" w:after="60"/>
      </w:pPr>
      <w:r>
        <w:rPr>
          <w:rFonts w:ascii="Calibri" w:cs="Calibri" w:eastAsia="Calibri" w:hAnsi="Calibri"/>
          <w:b/>
          <w:bCs/>
          <w:color w:val="1A1640"/>
          <w:sz w:val="22"/>
          <w:szCs w:val="22"/>
        </w:rPr>
        <w:t xml:space="preserve">Accepted offers not yet started:  </w:t>
      </w:r>
    </w:p>
    <w:p>
      <w:pPr>
        <w:pBdr>
          <w:bottom w:val="single" w:color="B9B6CF" w:sz="6" w:space="1"/>
        </w:pBdr>
        <w:spacing w:before="120" w:after="60"/>
      </w:pPr>
      <w:r>
        <w:rPr>
          <w:rFonts w:ascii="Calibri" w:cs="Calibri" w:eastAsia="Calibri" w:hAnsi="Calibri"/>
          <w:b/>
          <w:bCs/>
          <w:color w:val="1A1640"/>
          <w:sz w:val="22"/>
          <w:szCs w:val="22"/>
        </w:rPr>
        <w:t xml:space="preserve">Known leavers (resignations, retirements, contract ends) in period:  </w:t>
      </w:r>
    </w:p>
    <w:p>
      <w:pPr>
        <w:pBdr>
          <w:bottom w:val="single" w:color="B9B6CF" w:sz="6" w:space="1"/>
        </w:pBdr>
        <w:spacing w:before="120" w:after="60"/>
      </w:pPr>
      <w:r>
        <w:rPr>
          <w:rFonts w:ascii="Calibri" w:cs="Calibri" w:eastAsia="Calibri" w:hAnsi="Calibri"/>
          <w:b/>
          <w:bCs/>
          <w:color w:val="1A1640"/>
          <w:sz w:val="22"/>
          <w:szCs w:val="22"/>
        </w:rPr>
        <w:t xml:space="preserve">Employees on long-term leave expected to return:  </w:t>
      </w:r>
    </w:p>
    <w:p>
      <w:pPr>
        <w:pBdr>
          <w:bottom w:val="single" w:color="B9B6CF" w:sz="6" w:space="1"/>
        </w:pBdr>
        <w:spacing w:before="120" w:after="60"/>
      </w:pPr>
      <w:r>
        <w:rPr>
          <w:rFonts w:ascii="Calibri" w:cs="Calibri" w:eastAsia="Calibri" w:hAnsi="Calibri"/>
          <w:b/>
          <w:bCs/>
          <w:color w:val="1A1640"/>
          <w:sz w:val="22"/>
          <w:szCs w:val="22"/>
        </w:rPr>
        <w:t xml:space="preserve">Contingent or agency workers currently in seats:  </w:t>
      </w:r>
    </w:p>
    <w:p>
      <w:pPr>
        <w:pBdr>
          <w:bottom w:val="single" w:color="B9B6CF" w:sz="6" w:space="1"/>
        </w:pBdr>
        <w:spacing w:before="120" w:after="60"/>
      </w:pPr>
      <w:r>
        <w:rPr>
          <w:rFonts w:ascii="Calibri" w:cs="Calibri" w:eastAsia="Calibri" w:hAnsi="Calibri"/>
          <w:b/>
          <w:bCs/>
          <w:color w:val="1A1640"/>
          <w:sz w:val="22"/>
          <w:szCs w:val="22"/>
        </w:rPr>
        <w:t xml:space="preserve">Trailing 12-month attrition rate (%):  </w:t>
      </w:r>
    </w:p>
    <w:p>
      <w:pPr>
        <w:pBdr>
          <w:bottom w:val="single" w:color="B9B6CF" w:sz="6" w:space="1"/>
        </w:pBdr>
        <w:spacing w:before="120" w:after="60"/>
      </w:pPr>
      <w:r>
        <w:rPr>
          <w:rFonts w:ascii="Calibri" w:cs="Calibri" w:eastAsia="Calibri" w:hAnsi="Calibri"/>
          <w:b/>
          <w:bCs/>
          <w:color w:val="1A1640"/>
          <w:sz w:val="22"/>
          <w:szCs w:val="22"/>
        </w:rPr>
        <w:t xml:space="preserve">First-90-day attrition rate for new hires (%):  </w:t>
      </w:r>
    </w:p>
    <w:p>
      <w:pPr>
        <w:pBdr>
          <w:bottom w:val="single" w:color="1A1640" w:sz="12" w:space="2"/>
        </w:pBdr>
        <w:spacing w:before="280" w:after="120"/>
      </w:pPr>
      <w:r>
        <w:rPr>
          <w:rFonts w:ascii="Calibri" w:cs="Calibri" w:eastAsia="Calibri" w:hAnsi="Calibri"/>
          <w:b/>
          <w:bCs/>
          <w:color w:val="1A1640"/>
          <w:sz w:val="20"/>
          <w:szCs w:val="20"/>
        </w:rPr>
        <w:t xml:space="preserve">DEMAND DRIVERS</w:t>
      </w:r>
    </w:p>
    <w:p>
      <w:pPr>
        <w:spacing w:after="120"/>
      </w:pPr>
      <w:r>
        <w:rPr>
          <w:rFonts w:ascii="Calibri" w:cs="Calibri" w:eastAsia="Calibri" w:hAnsi="Calibri"/>
          <w:b/>
          <w:bCs/>
          <w:color w:val="1A1640"/>
          <w:sz w:val="22"/>
          <w:szCs w:val="22"/>
        </w:rPr>
        <w:t xml:space="preserve">Main driver of the headcount target:   </w:t>
      </w:r>
      <w:r>
        <w:rPr>
          <w:rFonts w:ascii="Calibri" w:cs="Calibri" w:eastAsia="Calibri" w:hAnsi="Calibri"/>
          <w:color w:val="1A1640"/>
          <w:sz w:val="22"/>
          <w:szCs w:val="22"/>
        </w:rPr>
        <w:t xml:space="preserve">☐ Volume forecast (contacts, orders, units)     ☐ Revenue or client growth     ☐ New program or client launch     ☐ New location     ☐ Productivity or automation change     ☐ Replacement only (flat headcount)</w:t>
      </w:r>
    </w:p>
    <w:p>
      <w:pPr>
        <w:pBdr>
          <w:bottom w:val="single" w:color="B9B6CF" w:sz="6" w:space="1"/>
        </w:pBdr>
        <w:spacing w:before="120" w:after="60"/>
      </w:pPr>
      <w:r>
        <w:rPr>
          <w:rFonts w:ascii="Calibri" w:cs="Calibri" w:eastAsia="Calibri" w:hAnsi="Calibri"/>
          <w:b/>
          <w:bCs/>
          <w:color w:val="1A1640"/>
          <w:sz w:val="22"/>
          <w:szCs w:val="22"/>
        </w:rPr>
        <w:t xml:space="preserve">Forecast source and owner:  </w:t>
      </w:r>
    </w:p>
    <w:p>
      <w:pPr>
        <w:spacing w:before="120" w:after="60"/>
      </w:pPr>
      <w:r>
        <w:rPr>
          <w:rFonts w:ascii="Calibri" w:cs="Calibri" w:eastAsia="Calibri" w:hAnsi="Calibri"/>
          <w:b/>
          <w:bCs/>
          <w:color w:val="1A1640"/>
          <w:sz w:val="22"/>
          <w:szCs w:val="22"/>
        </w:rPr>
        <w:t xml:space="preserve">Key assumptions (volume, handle time, productivity, shrinkage, service level):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Seasonal peaks in the period and their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Planned reductions, automation or outsourcing that lower demand: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HIRING PLAN BY ROLE (REPEAT FOR EACH ROLE)</w:t>
      </w:r>
    </w:p>
    <w:p>
      <w:pPr>
        <w:pBdr>
          <w:bottom w:val="single" w:color="B9B6CF" w:sz="6" w:space="1"/>
        </w:pBdr>
        <w:spacing w:before="120" w:after="60"/>
      </w:pPr>
      <w:r>
        <w:rPr>
          <w:rFonts w:ascii="Calibri" w:cs="Calibri" w:eastAsia="Calibri" w:hAnsi="Calibri"/>
          <w:b/>
          <w:bCs/>
          <w:color w:val="1A1640"/>
          <w:sz w:val="22"/>
          <w:szCs w:val="22"/>
        </w:rPr>
        <w:t xml:space="preserve">Job title and job code:  </w:t>
      </w:r>
    </w:p>
    <w:p>
      <w:pPr>
        <w:pBdr>
          <w:bottom w:val="single" w:color="B9B6CF" w:sz="6" w:space="1"/>
        </w:pBdr>
        <w:spacing w:before="120" w:after="60"/>
      </w:pPr>
      <w:r>
        <w:rPr>
          <w:rFonts w:ascii="Calibri" w:cs="Calibri" w:eastAsia="Calibri" w:hAnsi="Calibri"/>
          <w:b/>
          <w:bCs/>
          <w:color w:val="1A1640"/>
          <w:sz w:val="22"/>
          <w:szCs w:val="22"/>
        </w:rPr>
        <w:t xml:space="preserve">Department / team / site:  </w:t>
      </w:r>
    </w:p>
    <w:p>
      <w:pPr>
        <w:spacing w:after="120"/>
      </w:pPr>
      <w:r>
        <w:rPr>
          <w:rFonts w:ascii="Calibri" w:cs="Calibri" w:eastAsia="Calibri" w:hAnsi="Calibri"/>
          <w:b/>
          <w:bCs/>
          <w:color w:val="1A1640"/>
          <w:sz w:val="22"/>
          <w:szCs w:val="22"/>
        </w:rPr>
        <w:t xml:space="preserve">Employment type:   </w:t>
      </w:r>
      <w:r>
        <w:rPr>
          <w:rFonts w:ascii="Calibri" w:cs="Calibri" w:eastAsia="Calibri" w:hAnsi="Calibri"/>
          <w:color w:val="1A1640"/>
          <w:sz w:val="22"/>
          <w:szCs w:val="22"/>
        </w:rPr>
        <w:t xml:space="preserve">☐ Full-time     ☐ Part-time     ☐ Seasonal     ☐ Temporary / contract     ☐ Intern</w:t>
      </w:r>
    </w:p>
    <w:p>
      <w:pPr>
        <w:pBdr>
          <w:bottom w:val="single" w:color="B9B6CF" w:sz="6" w:space="1"/>
        </w:pBdr>
        <w:spacing w:before="120" w:after="60"/>
      </w:pPr>
      <w:r>
        <w:rPr>
          <w:rFonts w:ascii="Calibri" w:cs="Calibri" w:eastAsia="Calibri" w:hAnsi="Calibri"/>
          <w:b/>
          <w:bCs/>
          <w:color w:val="1A1640"/>
          <w:sz w:val="22"/>
          <w:szCs w:val="22"/>
        </w:rPr>
        <w:t xml:space="preserve">Current headcount in role:  </w:t>
      </w:r>
    </w:p>
    <w:p>
      <w:pPr>
        <w:pBdr>
          <w:bottom w:val="single" w:color="B9B6CF" w:sz="6" w:space="1"/>
        </w:pBdr>
        <w:spacing w:before="120" w:after="60"/>
      </w:pPr>
      <w:r>
        <w:rPr>
          <w:rFonts w:ascii="Calibri" w:cs="Calibri" w:eastAsia="Calibri" w:hAnsi="Calibri"/>
          <w:b/>
          <w:bCs/>
          <w:color w:val="1A1640"/>
          <w:sz w:val="22"/>
          <w:szCs w:val="22"/>
        </w:rPr>
        <w:t xml:space="preserve">Target headcount at period end:  </w:t>
      </w:r>
    </w:p>
    <w:p>
      <w:pPr>
        <w:pBdr>
          <w:bottom w:val="single" w:color="B9B6CF" w:sz="6" w:space="1"/>
        </w:pBdr>
        <w:spacing w:before="120" w:after="60"/>
      </w:pPr>
      <w:r>
        <w:rPr>
          <w:rFonts w:ascii="Calibri" w:cs="Calibri" w:eastAsia="Calibri" w:hAnsi="Calibri"/>
          <w:b/>
          <w:bCs/>
          <w:color w:val="1A1640"/>
          <w:sz w:val="22"/>
          <w:szCs w:val="22"/>
        </w:rPr>
        <w:t xml:space="preserve">Growth hires (target minus current):  </w:t>
      </w:r>
    </w:p>
    <w:p>
      <w:pPr>
        <w:pBdr>
          <w:bottom w:val="single" w:color="B9B6CF" w:sz="6" w:space="1"/>
        </w:pBdr>
        <w:spacing w:before="120" w:after="60"/>
      </w:pPr>
      <w:r>
        <w:rPr>
          <w:rFonts w:ascii="Calibri" w:cs="Calibri" w:eastAsia="Calibri" w:hAnsi="Calibri"/>
          <w:b/>
          <w:bCs/>
          <w:color w:val="1A1640"/>
          <w:sz w:val="22"/>
          <w:szCs w:val="22"/>
        </w:rPr>
        <w:t xml:space="preserve">Expected attrition backfills in period:  </w:t>
      </w:r>
    </w:p>
    <w:p>
      <w:pPr>
        <w:pBdr>
          <w:bottom w:val="single" w:color="B9B6CF" w:sz="6" w:space="1"/>
        </w:pBdr>
        <w:spacing w:before="120" w:after="60"/>
      </w:pPr>
      <w:r>
        <w:rPr>
          <w:rFonts w:ascii="Calibri" w:cs="Calibri" w:eastAsia="Calibri" w:hAnsi="Calibri"/>
          <w:b/>
          <w:bCs/>
          <w:color w:val="1A1640"/>
          <w:sz w:val="22"/>
          <w:szCs w:val="22"/>
        </w:rPr>
        <w:t xml:space="preserve">Training or early-tenure attrition allowance:  </w:t>
      </w:r>
    </w:p>
    <w:p>
      <w:pPr>
        <w:pBdr>
          <w:bottom w:val="single" w:color="B9B6CF" w:sz="6" w:space="1"/>
        </w:pBdr>
        <w:spacing w:before="120" w:after="60"/>
      </w:pPr>
      <w:r>
        <w:rPr>
          <w:rFonts w:ascii="Calibri" w:cs="Calibri" w:eastAsia="Calibri" w:hAnsi="Calibri"/>
          <w:b/>
          <w:bCs/>
          <w:color w:val="1A1640"/>
          <w:sz w:val="22"/>
          <w:szCs w:val="22"/>
        </w:rPr>
        <w:t xml:space="preserve">Total starts needed:  </w:t>
      </w:r>
    </w:p>
    <w:p>
      <w:pPr>
        <w:pBdr>
          <w:bottom w:val="single" w:color="B9B6CF" w:sz="6" w:space="1"/>
        </w:pBdr>
        <w:spacing w:before="120" w:after="60"/>
      </w:pPr>
      <w:r>
        <w:rPr>
          <w:rFonts w:ascii="Calibri" w:cs="Calibri" w:eastAsia="Calibri" w:hAnsi="Calibri"/>
          <w:b/>
          <w:bCs/>
          <w:color w:val="1A1640"/>
          <w:sz w:val="22"/>
          <w:szCs w:val="22"/>
        </w:rPr>
        <w:t xml:space="preserve">Starts needed by quarter (Q1 / Q2 / Q3 / Q4):  </w:t>
      </w:r>
    </w:p>
    <w:p>
      <w:pPr>
        <w:pBdr>
          <w:bottom w:val="single" w:color="B9B6CF" w:sz="6" w:space="1"/>
        </w:pBdr>
        <w:spacing w:before="120" w:after="60"/>
      </w:pPr>
      <w:r>
        <w:rPr>
          <w:rFonts w:ascii="Calibri" w:cs="Calibri" w:eastAsia="Calibri" w:hAnsi="Calibri"/>
          <w:b/>
          <w:bCs/>
          <w:color w:val="1A1640"/>
          <w:sz w:val="22"/>
          <w:szCs w:val="22"/>
        </w:rPr>
        <w:t xml:space="preserve">Date seats must be productive:  </w:t>
      </w:r>
    </w:p>
    <w:p>
      <w:pPr>
        <w:pBdr>
          <w:bottom w:val="single" w:color="B9B6CF" w:sz="6" w:space="1"/>
        </w:pBdr>
        <w:spacing w:before="120" w:after="60"/>
      </w:pPr>
      <w:r>
        <w:rPr>
          <w:rFonts w:ascii="Calibri" w:cs="Calibri" w:eastAsia="Calibri" w:hAnsi="Calibri"/>
          <w:b/>
          <w:bCs/>
          <w:color w:val="1A1640"/>
          <w:sz w:val="22"/>
          <w:szCs w:val="22"/>
        </w:rPr>
        <w:t xml:space="preserve">Assumed time to fill (days) and training length (weeks):  </w:t>
      </w:r>
    </w:p>
    <w:p>
      <w:pPr>
        <w:pBdr>
          <w:bottom w:val="single" w:color="B9B6CF" w:sz="6" w:space="1"/>
        </w:pBdr>
        <w:spacing w:before="120" w:after="60"/>
      </w:pPr>
      <w:r>
        <w:rPr>
          <w:rFonts w:ascii="Calibri" w:cs="Calibri" w:eastAsia="Calibri" w:hAnsi="Calibri"/>
          <w:b/>
          <w:bCs/>
          <w:color w:val="1A1640"/>
          <w:sz w:val="22"/>
          <w:szCs w:val="22"/>
        </w:rPr>
        <w:t xml:space="preserve">Requisition open-by date:  </w:t>
      </w:r>
    </w:p>
    <w:p>
      <w:pPr>
        <w:spacing w:after="120"/>
      </w:pPr>
      <w:r>
        <w:rPr>
          <w:rFonts w:ascii="Calibri" w:cs="Calibri" w:eastAsia="Calibri" w:hAnsi="Calibri"/>
          <w:b/>
          <w:bCs/>
          <w:color w:val="1A1640"/>
          <w:sz w:val="22"/>
          <w:szCs w:val="22"/>
        </w:rPr>
        <w:t xml:space="preserve">Hiring approach:   </w:t>
      </w:r>
      <w:r>
        <w:rPr>
          <w:rFonts w:ascii="Calibri" w:cs="Calibri" w:eastAsia="Calibri" w:hAnsi="Calibri"/>
          <w:color w:val="1A1640"/>
          <w:sz w:val="22"/>
          <w:szCs w:val="22"/>
        </w:rPr>
        <w:t xml:space="preserve">☐ Individual requisitions     ☐ Evergreen requisition     ☐ Cohort / training classes     ☐ Agency or staffing partner     ☐ Internal mobility first</w:t>
      </w:r>
    </w:p>
    <w:p>
      <w:pPr>
        <w:pBdr>
          <w:bottom w:val="single" w:color="B9B6CF" w:sz="6" w:space="1"/>
        </w:pBdr>
        <w:spacing w:before="120" w:after="60"/>
      </w:pPr>
      <w:r>
        <w:rPr>
          <w:rFonts w:ascii="Calibri" w:cs="Calibri" w:eastAsia="Calibri" w:hAnsi="Calibri"/>
          <w:b/>
          <w:bCs/>
          <w:color w:val="1A1640"/>
          <w:sz w:val="22"/>
          <w:szCs w:val="22"/>
        </w:rPr>
        <w:t xml:space="preserve">Planned source mix (%):  </w:t>
      </w:r>
    </w:p>
    <w:p>
      <w:pPr>
        <w:pBdr>
          <w:bottom w:val="single" w:color="B9B6CF" w:sz="6" w:space="1"/>
        </w:pBdr>
        <w:spacing w:before="120" w:after="60"/>
      </w:pPr>
      <w:r>
        <w:rPr>
          <w:rFonts w:ascii="Calibri" w:cs="Calibri" w:eastAsia="Calibri" w:hAnsi="Calibri"/>
          <w:b/>
          <w:bCs/>
          <w:color w:val="1A1640"/>
          <w:sz w:val="22"/>
          <w:szCs w:val="22"/>
        </w:rPr>
        <w:t xml:space="preserve">Pay range or rate:  </w:t>
      </w:r>
    </w:p>
    <w:p>
      <w:pPr>
        <w:pBdr>
          <w:bottom w:val="single" w:color="B9B6CF" w:sz="6" w:space="1"/>
        </w:pBdr>
        <w:spacing w:before="120" w:after="60"/>
      </w:pPr>
      <w:r>
        <w:rPr>
          <w:rFonts w:ascii="Calibri" w:cs="Calibri" w:eastAsia="Calibri" w:hAnsi="Calibri"/>
          <w:b/>
          <w:bCs/>
          <w:color w:val="1A1640"/>
          <w:sz w:val="22"/>
          <w:szCs w:val="22"/>
        </w:rPr>
        <w:t xml:space="preserve">Fully loaded cost per hire assumption:  </w:t>
      </w:r>
    </w:p>
    <w:p>
      <w:pPr>
        <w:pBdr>
          <w:bottom w:val="single" w:color="1A1640" w:sz="12" w:space="2"/>
        </w:pBdr>
        <w:spacing w:before="280" w:after="120"/>
      </w:pPr>
      <w:r>
        <w:rPr>
          <w:rFonts w:ascii="Calibri" w:cs="Calibri" w:eastAsia="Calibri" w:hAnsi="Calibri"/>
          <w:b/>
          <w:bCs/>
          <w:color w:val="1A1640"/>
          <w:sz w:val="20"/>
          <w:szCs w:val="20"/>
        </w:rPr>
        <w:t xml:space="preserve">CALCULATION REFERENCE</w:t>
      </w:r>
    </w:p>
    <w:p>
      <w:pPr>
        <w:spacing w:after="120"/>
      </w:pPr>
      <w:r>
        <w:rPr>
          <w:rFonts w:ascii="Calibri" w:cs="Calibri" w:eastAsia="Calibri" w:hAnsi="Calibri"/>
          <w:color w:val="1A1640"/>
          <w:sz w:val="22"/>
          <w:szCs w:val="22"/>
        </w:rPr>
        <w:t xml:space="preserve">Growth hires = Target headcount − Current headcount</w:t>
      </w:r>
    </w:p>
    <w:p>
      <w:pPr>
        <w:spacing w:after="120"/>
      </w:pPr>
      <w:r>
        <w:rPr>
          <w:rFonts w:ascii="Calibri" w:cs="Calibri" w:eastAsia="Calibri" w:hAnsi="Calibri"/>
          <w:color w:val="1A1640"/>
          <w:sz w:val="22"/>
          <w:szCs w:val="22"/>
        </w:rPr>
        <w:t xml:space="preserve">Attrition backfills = Average headcount in period × Annual attrition rate × (Months in period ÷ 12)</w:t>
      </w:r>
    </w:p>
    <w:p>
      <w:pPr>
        <w:spacing w:after="120"/>
      </w:pPr>
      <w:r>
        <w:rPr>
          <w:rFonts w:ascii="Calibri" w:cs="Calibri" w:eastAsia="Calibri" w:hAnsi="Calibri"/>
          <w:color w:val="1A1640"/>
          <w:sz w:val="22"/>
          <w:szCs w:val="22"/>
        </w:rPr>
        <w:t xml:space="preserve">Total starts needed = (Growth hires + Attrition backfills) ÷ (1 − Training attrition rate)</w:t>
      </w:r>
    </w:p>
    <w:p>
      <w:pPr>
        <w:spacing w:after="120"/>
      </w:pPr>
      <w:r>
        <w:rPr>
          <w:rFonts w:ascii="Calibri" w:cs="Calibri" w:eastAsia="Calibri" w:hAnsi="Calibri"/>
          <w:color w:val="1A1640"/>
          <w:sz w:val="22"/>
          <w:szCs w:val="22"/>
        </w:rPr>
        <w:t xml:space="preserve">Requisition open-by date = Date seat must be productive − Training length − Average time to fill</w:t>
      </w:r>
    </w:p>
    <w:p>
      <w:pPr>
        <w:spacing w:after="120"/>
      </w:pPr>
      <w:r>
        <w:rPr>
          <w:rFonts w:ascii="Calibri" w:cs="Calibri" w:eastAsia="Calibri" w:hAnsi="Calibri"/>
          <w:color w:val="1A1640"/>
          <w:sz w:val="22"/>
          <w:szCs w:val="22"/>
        </w:rPr>
        <w:t xml:space="preserve">Recruiter capacity needed = Total starts per month ÷ Hires per recruiter per month</w:t>
      </w:r>
    </w:p>
    <w:p>
      <w:pPr>
        <w:pBdr>
          <w:bottom w:val="single" w:color="1A1640" w:sz="12" w:space="2"/>
        </w:pBdr>
        <w:spacing w:before="280" w:after="120"/>
      </w:pPr>
      <w:r>
        <w:rPr>
          <w:rFonts w:ascii="Calibri" w:cs="Calibri" w:eastAsia="Calibri" w:hAnsi="Calibri"/>
          <w:b/>
          <w:bCs/>
          <w:color w:val="1A1640"/>
          <w:sz w:val="20"/>
          <w:szCs w:val="20"/>
        </w:rPr>
        <w:t xml:space="preserve">RECRUITING CAPACITY CHECK</w:t>
      </w:r>
    </w:p>
    <w:p>
      <w:pPr>
        <w:pBdr>
          <w:bottom w:val="single" w:color="B9B6CF" w:sz="6" w:space="1"/>
        </w:pBdr>
        <w:spacing w:before="120" w:after="60"/>
      </w:pPr>
      <w:r>
        <w:rPr>
          <w:rFonts w:ascii="Calibri" w:cs="Calibri" w:eastAsia="Calibri" w:hAnsi="Calibri"/>
          <w:b/>
          <w:bCs/>
          <w:color w:val="1A1640"/>
          <w:sz w:val="22"/>
          <w:szCs w:val="22"/>
        </w:rPr>
        <w:t xml:space="preserve">Total starts per month across all roles:  </w:t>
      </w:r>
    </w:p>
    <w:p>
      <w:pPr>
        <w:pBdr>
          <w:bottom w:val="single" w:color="B9B6CF" w:sz="6" w:space="1"/>
        </w:pBdr>
        <w:spacing w:before="120" w:after="60"/>
      </w:pPr>
      <w:r>
        <w:rPr>
          <w:rFonts w:ascii="Calibri" w:cs="Calibri" w:eastAsia="Calibri" w:hAnsi="Calibri"/>
          <w:b/>
          <w:bCs/>
          <w:color w:val="1A1640"/>
          <w:sz w:val="22"/>
          <w:szCs w:val="22"/>
        </w:rPr>
        <w:t xml:space="preserve">Recruiters and coordinators assigned (FTE):  </w:t>
      </w:r>
    </w:p>
    <w:p>
      <w:pPr>
        <w:pBdr>
          <w:bottom w:val="single" w:color="B9B6CF" w:sz="6" w:space="1"/>
        </w:pBdr>
        <w:spacing w:before="120" w:after="60"/>
      </w:pPr>
      <w:r>
        <w:rPr>
          <w:rFonts w:ascii="Calibri" w:cs="Calibri" w:eastAsia="Calibri" w:hAnsi="Calibri"/>
          <w:b/>
          <w:bCs/>
          <w:color w:val="1A1640"/>
          <w:sz w:val="22"/>
          <w:szCs w:val="22"/>
        </w:rPr>
        <w:t xml:space="preserve">Assumed hires per recruiter per month for these roles:  </w:t>
      </w:r>
    </w:p>
    <w:p>
      <w:pPr>
        <w:pBdr>
          <w:bottom w:val="single" w:color="B9B6CF" w:sz="6" w:space="1"/>
        </w:pBdr>
        <w:spacing w:before="120" w:after="60"/>
      </w:pPr>
      <w:r>
        <w:rPr>
          <w:rFonts w:ascii="Calibri" w:cs="Calibri" w:eastAsia="Calibri" w:hAnsi="Calibri"/>
          <w:b/>
          <w:bCs/>
          <w:color w:val="1A1640"/>
          <w:sz w:val="22"/>
          <w:szCs w:val="22"/>
        </w:rPr>
        <w:t xml:space="preserve">Capacity gap (recruiter FTE short or over):  </w:t>
      </w:r>
    </w:p>
    <w:p>
      <w:pPr>
        <w:pBdr>
          <w:bottom w:val="single" w:color="B9B6CF" w:sz="6" w:space="1"/>
        </w:pBdr>
        <w:spacing w:before="120" w:after="60"/>
      </w:pPr>
      <w:r>
        <w:rPr>
          <w:rFonts w:ascii="Calibri" w:cs="Calibri" w:eastAsia="Calibri" w:hAnsi="Calibri"/>
          <w:b/>
          <w:bCs/>
          <w:color w:val="1A1640"/>
          <w:sz w:val="22"/>
          <w:szCs w:val="22"/>
        </w:rPr>
        <w:t xml:space="preserve">Interviewer and trainer hours needed per month:  </w:t>
      </w:r>
    </w:p>
    <w:p>
      <w:pPr>
        <w:spacing w:before="120" w:after="60"/>
      </w:pPr>
      <w:r>
        <w:rPr>
          <w:rFonts w:ascii="Calibri" w:cs="Calibri" w:eastAsia="Calibri" w:hAnsi="Calibri"/>
          <w:b/>
          <w:bCs/>
          <w:color w:val="1A1640"/>
          <w:sz w:val="22"/>
          <w:szCs w:val="22"/>
        </w:rPr>
        <w:t xml:space="preserve">Plan to close any gap (agency, contract recruiters, automation, internal referral push):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BUDGET SUMMARY</w:t>
      </w:r>
    </w:p>
    <w:p>
      <w:pPr>
        <w:pBdr>
          <w:bottom w:val="single" w:color="B9B6CF" w:sz="6" w:space="1"/>
        </w:pBdr>
        <w:spacing w:before="120" w:after="60"/>
      </w:pPr>
      <w:r>
        <w:rPr>
          <w:rFonts w:ascii="Calibri" w:cs="Calibri" w:eastAsia="Calibri" w:hAnsi="Calibri"/>
          <w:b/>
          <w:bCs/>
          <w:color w:val="1A1640"/>
          <w:sz w:val="22"/>
          <w:szCs w:val="22"/>
        </w:rPr>
        <w:t xml:space="preserve">Total new salary cost in period:  </w:t>
      </w:r>
    </w:p>
    <w:p>
      <w:pPr>
        <w:pBdr>
          <w:bottom w:val="single" w:color="B9B6CF" w:sz="6" w:space="1"/>
        </w:pBdr>
        <w:spacing w:before="120" w:after="60"/>
      </w:pPr>
      <w:r>
        <w:rPr>
          <w:rFonts w:ascii="Calibri" w:cs="Calibri" w:eastAsia="Calibri" w:hAnsi="Calibri"/>
          <w:b/>
          <w:bCs/>
          <w:color w:val="1A1640"/>
          <w:sz w:val="22"/>
          <w:szCs w:val="22"/>
        </w:rPr>
        <w:t xml:space="preserve">Total recruiting cost (advertising, agency, tools, events):  </w:t>
      </w:r>
    </w:p>
    <w:p>
      <w:pPr>
        <w:pBdr>
          <w:bottom w:val="single" w:color="B9B6CF" w:sz="6" w:space="1"/>
        </w:pBdr>
        <w:spacing w:before="120" w:after="60"/>
      </w:pPr>
      <w:r>
        <w:rPr>
          <w:rFonts w:ascii="Calibri" w:cs="Calibri" w:eastAsia="Calibri" w:hAnsi="Calibri"/>
          <w:b/>
          <w:bCs/>
          <w:color w:val="1A1640"/>
          <w:sz w:val="22"/>
          <w:szCs w:val="22"/>
        </w:rPr>
        <w:t xml:space="preserve">Training cost for new hires:  </w:t>
      </w:r>
    </w:p>
    <w:p>
      <w:pPr>
        <w:pBdr>
          <w:bottom w:val="single" w:color="B9B6CF" w:sz="6" w:space="1"/>
        </w:pBdr>
        <w:spacing w:before="120" w:after="60"/>
      </w:pPr>
      <w:r>
        <w:rPr>
          <w:rFonts w:ascii="Calibri" w:cs="Calibri" w:eastAsia="Calibri" w:hAnsi="Calibri"/>
          <w:b/>
          <w:bCs/>
          <w:color w:val="1A1640"/>
          <w:sz w:val="22"/>
          <w:szCs w:val="22"/>
        </w:rPr>
        <w:t xml:space="preserve">Approved budget line or cost center:  </w:t>
      </w:r>
    </w:p>
    <w:p>
      <w:pPr>
        <w:spacing w:before="120" w:after="60"/>
      </w:pPr>
      <w:r>
        <w:rPr>
          <w:rFonts w:ascii="Calibri" w:cs="Calibri" w:eastAsia="Calibri" w:hAnsi="Calibri"/>
          <w:b/>
          <w:bCs/>
          <w:color w:val="1A1640"/>
          <w:sz w:val="22"/>
          <w:szCs w:val="22"/>
        </w:rPr>
        <w:t xml:space="preserve">Variance to approved budget and explanation: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RISKS AND CONTINGENCIES</w:t>
      </w:r>
    </w:p>
    <w:p>
      <w:pPr>
        <w:spacing w:before="120" w:after="60"/>
      </w:pPr>
      <w:r>
        <w:rPr>
          <w:rFonts w:ascii="Calibri" w:cs="Calibri" w:eastAsia="Calibri" w:hAnsi="Calibri"/>
          <w:b/>
          <w:bCs/>
          <w:color w:val="1A1640"/>
          <w:sz w:val="22"/>
          <w:szCs w:val="22"/>
        </w:rPr>
        <w:t xml:space="preserve">Labor market risks (local unemployment, competing employers, wage pressure):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Roles with long lead times or scarce skills: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Trigger that prompts a reforecast (e.g. volume ±10%, attrition 5 points above plan):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Fallback if hiring falls behind (overtime, temps, cross-training, delayed launch):</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REVIEW AND APPROVAL</w:t>
      </w:r>
    </w:p>
    <w:p>
      <w:pPr>
        <w:pBdr>
          <w:bottom w:val="single" w:color="B9B6CF" w:sz="6" w:space="1"/>
        </w:pBdr>
        <w:spacing w:before="280" w:after="60"/>
      </w:pPr>
      <w:r>
        <w:rPr>
          <w:rFonts w:ascii="Calibri" w:cs="Calibri" w:eastAsia="Calibri" w:hAnsi="Calibri"/>
          <w:b/>
          <w:bCs/>
          <w:color w:val="1A1640"/>
          <w:sz w:val="22"/>
          <w:szCs w:val="22"/>
        </w:rPr>
        <w:t xml:space="preserve">Plan owner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Finance approver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HR / talent acquisition approver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Next scheduled review 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Hiring Plan</dc:title>
  <dc:creator>TapTalent</dc:creator>
  <cp:lastModifiedBy>Un-named</cp:lastModifiedBy>
  <cp:revision>1</cp:revision>
  <dcterms:created xsi:type="dcterms:W3CDTF">2026-11-08T07:40:30.185Z</dcterms:created>
  <dcterms:modified xsi:type="dcterms:W3CDTF">2026-11-08T07:40:30.185Z</dcterms:modified>
</cp:coreProperties>
</file>

<file path=docProps/custom.xml><?xml version="1.0" encoding="utf-8"?>
<Properties xmlns="http://schemas.openxmlformats.org/officeDocument/2006/custom-properties" xmlns:vt="http://schemas.openxmlformats.org/officeDocument/2006/docPropsVTypes"/>
</file>