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Monthly Recruitment Metrics Report</w:t>
      </w:r>
    </w:p>
    <w:p>
      <w:pPr>
        <w:spacing w:after="240"/>
        <w:jc w:val="center"/>
      </w:pPr>
      <w:r>
        <w:rPr>
          <w:rFonts w:ascii="Calibri" w:cs="Calibri" w:eastAsia="Calibri" w:hAnsi="Calibri"/>
          <w:color w:val="5E5A80"/>
          <w:sz w:val="22"/>
          <w:szCs w:val="22"/>
        </w:rPr>
        <w:t xml:space="preserve">Complete by the fifth working day of each month. Report each metric for the month, the prior month and year to date, with the target. Use the definitions in the last block so numbers are comparable over time and across sites.</w:t>
      </w:r>
    </w:p>
    <w:p>
      <w:pPr>
        <w:pBdr>
          <w:bottom w:val="single" w:color="1A1640" w:sz="12" w:space="2"/>
        </w:pBdr>
        <w:spacing w:before="280" w:after="120"/>
      </w:pPr>
      <w:r>
        <w:rPr>
          <w:rFonts w:ascii="Calibri" w:cs="Calibri" w:eastAsia="Calibri" w:hAnsi="Calibri"/>
          <w:b/>
          <w:bCs/>
          <w:color w:val="1A1640"/>
          <w:sz w:val="20"/>
          <w:szCs w:val="20"/>
        </w:rPr>
        <w:t xml:space="preserve">REPORT DETAILS</w:t>
      </w:r>
    </w:p>
    <w:p>
      <w:pPr>
        <w:pBdr>
          <w:bottom w:val="single" w:color="B9B6CF" w:sz="6" w:space="1"/>
        </w:pBdr>
        <w:spacing w:before="120" w:after="60"/>
      </w:pPr>
      <w:r>
        <w:rPr>
          <w:rFonts w:ascii="Calibri" w:cs="Calibri" w:eastAsia="Calibri" w:hAnsi="Calibri"/>
          <w:b/>
          <w:bCs/>
          <w:color w:val="1A1640"/>
          <w:sz w:val="22"/>
          <w:szCs w:val="22"/>
        </w:rPr>
        <w:t xml:space="preserve">Reporting period:  </w:t>
      </w:r>
    </w:p>
    <w:p>
      <w:pPr>
        <w:pBdr>
          <w:bottom w:val="single" w:color="B9B6CF" w:sz="6" w:space="1"/>
        </w:pBdr>
        <w:spacing w:before="120" w:after="60"/>
      </w:pPr>
      <w:r>
        <w:rPr>
          <w:rFonts w:ascii="Calibri" w:cs="Calibri" w:eastAsia="Calibri" w:hAnsi="Calibri"/>
          <w:b/>
          <w:bCs/>
          <w:color w:val="1A1640"/>
          <w:sz w:val="22"/>
          <w:szCs w:val="22"/>
        </w:rPr>
        <w:t xml:space="preserve">Business unit / region / site:  </w:t>
      </w:r>
    </w:p>
    <w:p>
      <w:pPr>
        <w:pBdr>
          <w:bottom w:val="single" w:color="B9B6CF" w:sz="6" w:space="1"/>
        </w:pBdr>
        <w:spacing w:before="120" w:after="60"/>
      </w:pPr>
      <w:r>
        <w:rPr>
          <w:rFonts w:ascii="Calibri" w:cs="Calibri" w:eastAsia="Calibri" w:hAnsi="Calibri"/>
          <w:b/>
          <w:bCs/>
          <w:color w:val="1A1640"/>
          <w:sz w:val="22"/>
          <w:szCs w:val="22"/>
        </w:rPr>
        <w:t xml:space="preserve">Prepared by:  </w:t>
      </w:r>
    </w:p>
    <w:p>
      <w:pPr>
        <w:pBdr>
          <w:bottom w:val="single" w:color="B9B6CF" w:sz="6" w:space="1"/>
        </w:pBdr>
        <w:spacing w:before="120" w:after="60"/>
      </w:pPr>
      <w:r>
        <w:rPr>
          <w:rFonts w:ascii="Calibri" w:cs="Calibri" w:eastAsia="Calibri" w:hAnsi="Calibri"/>
          <w:b/>
          <w:bCs/>
          <w:color w:val="1A1640"/>
          <w:sz w:val="22"/>
          <w:szCs w:val="22"/>
        </w:rPr>
        <w:t xml:space="preserve">Date prepared:  </w:t>
      </w:r>
    </w:p>
    <w:p>
      <w:pPr>
        <w:pBdr>
          <w:bottom w:val="single" w:color="B9B6CF" w:sz="6" w:space="1"/>
        </w:pBdr>
        <w:spacing w:before="120" w:after="60"/>
      </w:pPr>
      <w:r>
        <w:rPr>
          <w:rFonts w:ascii="Calibri" w:cs="Calibri" w:eastAsia="Calibri" w:hAnsi="Calibri"/>
          <w:b/>
          <w:bCs/>
          <w:color w:val="1A1640"/>
          <w:sz w:val="22"/>
          <w:szCs w:val="22"/>
        </w:rPr>
        <w:t xml:space="preserve">Data sources (ATS, HRIS, payroll, survey tool) and extract date:  </w:t>
      </w:r>
    </w:p>
    <w:p>
      <w:pPr>
        <w:pBdr>
          <w:bottom w:val="single" w:color="1A1640" w:sz="12" w:space="2"/>
        </w:pBdr>
        <w:spacing w:before="280" w:after="120"/>
      </w:pPr>
      <w:r>
        <w:rPr>
          <w:rFonts w:ascii="Calibri" w:cs="Calibri" w:eastAsia="Calibri" w:hAnsi="Calibri"/>
          <w:b/>
          <w:bCs/>
          <w:color w:val="1A1640"/>
          <w:sz w:val="20"/>
          <w:szCs w:val="20"/>
        </w:rPr>
        <w:t xml:space="preserve">HEADLINE SUMMARY</w:t>
      </w:r>
    </w:p>
    <w:p>
      <w:pPr>
        <w:spacing w:before="120" w:after="60"/>
      </w:pPr>
      <w:r>
        <w:rPr>
          <w:rFonts w:ascii="Calibri" w:cs="Calibri" w:eastAsia="Calibri" w:hAnsi="Calibri"/>
          <w:b/>
          <w:bCs/>
          <w:color w:val="1A1640"/>
          <w:sz w:val="22"/>
          <w:szCs w:val="22"/>
        </w:rPr>
        <w:t xml:space="preserve">Three things leaders need to know this month: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Overall status:   </w:t>
      </w:r>
      <w:r>
        <w:rPr>
          <w:rFonts w:ascii="Calibri" w:cs="Calibri" w:eastAsia="Calibri" w:hAnsi="Calibri"/>
          <w:color w:val="1A1640"/>
          <w:sz w:val="22"/>
          <w:szCs w:val="22"/>
        </w:rPr>
        <w:t xml:space="preserve">☐ On track     ☐ At risk     ☐ Off track</w:t>
      </w:r>
    </w:p>
    <w:p>
      <w:pPr>
        <w:spacing w:before="120" w:after="60"/>
      </w:pPr>
      <w:r>
        <w:rPr>
          <w:rFonts w:ascii="Calibri" w:cs="Calibri" w:eastAsia="Calibri" w:hAnsi="Calibri"/>
          <w:b/>
          <w:bCs/>
          <w:color w:val="1A1640"/>
          <w:sz w:val="22"/>
          <w:szCs w:val="22"/>
        </w:rPr>
        <w:t xml:space="preserve">Decisions or support needed from leadership:</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VOLUME</w:t>
      </w:r>
    </w:p>
    <w:p>
      <w:pPr>
        <w:pBdr>
          <w:bottom w:val="single" w:color="B9B6CF" w:sz="6" w:space="1"/>
        </w:pBdr>
        <w:spacing w:before="120" w:after="60"/>
      </w:pPr>
      <w:r>
        <w:rPr>
          <w:rFonts w:ascii="Calibri" w:cs="Calibri" w:eastAsia="Calibri" w:hAnsi="Calibri"/>
          <w:b/>
          <w:bCs/>
          <w:color w:val="1A1640"/>
          <w:sz w:val="22"/>
          <w:szCs w:val="22"/>
        </w:rPr>
        <w:t xml:space="preserve">Open requisitions at start of period:  </w:t>
      </w:r>
    </w:p>
    <w:p>
      <w:pPr>
        <w:pBdr>
          <w:bottom w:val="single" w:color="B9B6CF" w:sz="6" w:space="1"/>
        </w:pBdr>
        <w:spacing w:before="120" w:after="60"/>
      </w:pPr>
      <w:r>
        <w:rPr>
          <w:rFonts w:ascii="Calibri" w:cs="Calibri" w:eastAsia="Calibri" w:hAnsi="Calibri"/>
          <w:b/>
          <w:bCs/>
          <w:color w:val="1A1640"/>
          <w:sz w:val="22"/>
          <w:szCs w:val="22"/>
        </w:rPr>
        <w:t xml:space="preserve">New requisitions opened:  </w:t>
      </w:r>
    </w:p>
    <w:p>
      <w:pPr>
        <w:pBdr>
          <w:bottom w:val="single" w:color="B9B6CF" w:sz="6" w:space="1"/>
        </w:pBdr>
        <w:spacing w:before="120" w:after="60"/>
      </w:pPr>
      <w:r>
        <w:rPr>
          <w:rFonts w:ascii="Calibri" w:cs="Calibri" w:eastAsia="Calibri" w:hAnsi="Calibri"/>
          <w:b/>
          <w:bCs/>
          <w:color w:val="1A1640"/>
          <w:sz w:val="22"/>
          <w:szCs w:val="22"/>
        </w:rPr>
        <w:t xml:space="preserve">Requisitions filled:  </w:t>
      </w:r>
    </w:p>
    <w:p>
      <w:pPr>
        <w:pBdr>
          <w:bottom w:val="single" w:color="B9B6CF" w:sz="6" w:space="1"/>
        </w:pBdr>
        <w:spacing w:before="120" w:after="60"/>
      </w:pPr>
      <w:r>
        <w:rPr>
          <w:rFonts w:ascii="Calibri" w:cs="Calibri" w:eastAsia="Calibri" w:hAnsi="Calibri"/>
          <w:b/>
          <w:bCs/>
          <w:color w:val="1A1640"/>
          <w:sz w:val="22"/>
          <w:szCs w:val="22"/>
        </w:rPr>
        <w:t xml:space="preserve">Requisitions cancelled or on hold:  </w:t>
      </w:r>
    </w:p>
    <w:p>
      <w:pPr>
        <w:pBdr>
          <w:bottom w:val="single" w:color="B9B6CF" w:sz="6" w:space="1"/>
        </w:pBdr>
        <w:spacing w:before="120" w:after="60"/>
      </w:pPr>
      <w:r>
        <w:rPr>
          <w:rFonts w:ascii="Calibri" w:cs="Calibri" w:eastAsia="Calibri" w:hAnsi="Calibri"/>
          <w:b/>
          <w:bCs/>
          <w:color w:val="1A1640"/>
          <w:sz w:val="22"/>
          <w:szCs w:val="22"/>
        </w:rPr>
        <w:t xml:space="preserve">Open requisitions at end of period:  </w:t>
      </w:r>
    </w:p>
    <w:p>
      <w:pPr>
        <w:pBdr>
          <w:bottom w:val="single" w:color="B9B6CF" w:sz="6" w:space="1"/>
        </w:pBdr>
        <w:spacing w:before="120" w:after="60"/>
      </w:pPr>
      <w:r>
        <w:rPr>
          <w:rFonts w:ascii="Calibri" w:cs="Calibri" w:eastAsia="Calibri" w:hAnsi="Calibri"/>
          <w:b/>
          <w:bCs/>
          <w:color w:val="1A1640"/>
          <w:sz w:val="22"/>
          <w:szCs w:val="22"/>
        </w:rPr>
        <w:t xml:space="preserve">Hires (starts) versus plan:  </w:t>
      </w:r>
    </w:p>
    <w:p>
      <w:pPr>
        <w:pBdr>
          <w:bottom w:val="single" w:color="B9B6CF" w:sz="6" w:space="1"/>
        </w:pBdr>
        <w:spacing w:before="120" w:after="60"/>
      </w:pPr>
      <w:r>
        <w:rPr>
          <w:rFonts w:ascii="Calibri" w:cs="Calibri" w:eastAsia="Calibri" w:hAnsi="Calibri"/>
          <w:b/>
          <w:bCs/>
          <w:color w:val="1A1640"/>
          <w:sz w:val="22"/>
          <w:szCs w:val="22"/>
        </w:rPr>
        <w:t xml:space="preserve">Open requisitions older than 60 days:  </w:t>
      </w:r>
    </w:p>
    <w:p>
      <w:pPr>
        <w:pBdr>
          <w:bottom w:val="single" w:color="B9B6CF" w:sz="6" w:space="1"/>
        </w:pBdr>
        <w:spacing w:before="120" w:after="60"/>
      </w:pPr>
      <w:r>
        <w:rPr>
          <w:rFonts w:ascii="Calibri" w:cs="Calibri" w:eastAsia="Calibri" w:hAnsi="Calibri"/>
          <w:b/>
          <w:bCs/>
          <w:color w:val="1A1640"/>
          <w:sz w:val="22"/>
          <w:szCs w:val="22"/>
        </w:rPr>
        <w:t xml:space="preserve">Open requisitions per recruiter:  </w:t>
      </w:r>
    </w:p>
    <w:p>
      <w:pPr>
        <w:pBdr>
          <w:bottom w:val="single" w:color="1A1640" w:sz="12" w:space="2"/>
        </w:pBdr>
        <w:spacing w:before="280" w:after="120"/>
      </w:pPr>
      <w:r>
        <w:rPr>
          <w:rFonts w:ascii="Calibri" w:cs="Calibri" w:eastAsia="Calibri" w:hAnsi="Calibri"/>
          <w:b/>
          <w:bCs/>
          <w:color w:val="1A1640"/>
          <w:sz w:val="20"/>
          <w:szCs w:val="20"/>
        </w:rPr>
        <w:t xml:space="preserve">SPEED</w:t>
      </w:r>
    </w:p>
    <w:p>
      <w:pPr>
        <w:pBdr>
          <w:bottom w:val="single" w:color="B9B6CF" w:sz="6" w:space="1"/>
        </w:pBdr>
        <w:spacing w:before="120" w:after="60"/>
      </w:pPr>
      <w:r>
        <w:rPr>
          <w:rFonts w:ascii="Calibri" w:cs="Calibri" w:eastAsia="Calibri" w:hAnsi="Calibri"/>
          <w:b/>
          <w:bCs/>
          <w:color w:val="1A1640"/>
          <w:sz w:val="22"/>
          <w:szCs w:val="22"/>
        </w:rPr>
        <w:t xml:space="preserve">Median time to fill (requisition approved to offer accepted), days:  </w:t>
      </w:r>
    </w:p>
    <w:p>
      <w:pPr>
        <w:pBdr>
          <w:bottom w:val="single" w:color="B9B6CF" w:sz="6" w:space="1"/>
        </w:pBdr>
        <w:spacing w:before="120" w:after="60"/>
      </w:pPr>
      <w:r>
        <w:rPr>
          <w:rFonts w:ascii="Calibri" w:cs="Calibri" w:eastAsia="Calibri" w:hAnsi="Calibri"/>
          <w:b/>
          <w:bCs/>
          <w:color w:val="1A1640"/>
          <w:sz w:val="22"/>
          <w:szCs w:val="22"/>
        </w:rPr>
        <w:t xml:space="preserve">Median time to hire (application to offer accepted), days:  </w:t>
      </w:r>
    </w:p>
    <w:p>
      <w:pPr>
        <w:pBdr>
          <w:bottom w:val="single" w:color="B9B6CF" w:sz="6" w:space="1"/>
        </w:pBdr>
        <w:spacing w:before="120" w:after="60"/>
      </w:pPr>
      <w:r>
        <w:rPr>
          <w:rFonts w:ascii="Calibri" w:cs="Calibri" w:eastAsia="Calibri" w:hAnsi="Calibri"/>
          <w:b/>
          <w:bCs/>
          <w:color w:val="1A1640"/>
          <w:sz w:val="22"/>
          <w:szCs w:val="22"/>
        </w:rPr>
        <w:t xml:space="preserve">Median time to start (offer accepted to first day), days:  </w:t>
      </w:r>
    </w:p>
    <w:p>
      <w:pPr>
        <w:pBdr>
          <w:bottom w:val="single" w:color="B9B6CF" w:sz="6" w:space="1"/>
        </w:pBdr>
        <w:spacing w:before="120" w:after="60"/>
      </w:pPr>
      <w:r>
        <w:rPr>
          <w:rFonts w:ascii="Calibri" w:cs="Calibri" w:eastAsia="Calibri" w:hAnsi="Calibri"/>
          <w:b/>
          <w:bCs/>
          <w:color w:val="1A1640"/>
          <w:sz w:val="22"/>
          <w:szCs w:val="22"/>
        </w:rPr>
        <w:t xml:space="preserve">Median days from application to first contact:  </w:t>
      </w:r>
    </w:p>
    <w:p>
      <w:pPr>
        <w:pBdr>
          <w:bottom w:val="single" w:color="B9B6CF" w:sz="6" w:space="1"/>
        </w:pBdr>
        <w:spacing w:before="120" w:after="60"/>
      </w:pPr>
      <w:r>
        <w:rPr>
          <w:rFonts w:ascii="Calibri" w:cs="Calibri" w:eastAsia="Calibri" w:hAnsi="Calibri"/>
          <w:b/>
          <w:bCs/>
          <w:color w:val="1A1640"/>
          <w:sz w:val="22"/>
          <w:szCs w:val="22"/>
        </w:rPr>
        <w:t xml:space="preserve">Median days from final interview to offer:  </w:t>
      </w:r>
    </w:p>
    <w:p>
      <w:pPr>
        <w:pBdr>
          <w:bottom w:val="single" w:color="1A1640" w:sz="12" w:space="2"/>
        </w:pBdr>
        <w:spacing w:before="280" w:after="120"/>
      </w:pPr>
      <w:r>
        <w:rPr>
          <w:rFonts w:ascii="Calibri" w:cs="Calibri" w:eastAsia="Calibri" w:hAnsi="Calibri"/>
          <w:b/>
          <w:bCs/>
          <w:color w:val="1A1640"/>
          <w:sz w:val="20"/>
          <w:szCs w:val="20"/>
        </w:rPr>
        <w:t xml:space="preserve">FUNNEL CONVERSION</w:t>
      </w:r>
    </w:p>
    <w:p>
      <w:pPr>
        <w:pBdr>
          <w:bottom w:val="single" w:color="B9B6CF" w:sz="6" w:space="1"/>
        </w:pBdr>
        <w:spacing w:before="120" w:after="60"/>
      </w:pPr>
      <w:r>
        <w:rPr>
          <w:rFonts w:ascii="Calibri" w:cs="Calibri" w:eastAsia="Calibri" w:hAnsi="Calibri"/>
          <w:b/>
          <w:bCs/>
          <w:color w:val="1A1640"/>
          <w:sz w:val="22"/>
          <w:szCs w:val="22"/>
        </w:rPr>
        <w:t xml:space="preserve">Applicants:  </w:t>
      </w:r>
    </w:p>
    <w:p>
      <w:pPr>
        <w:pBdr>
          <w:bottom w:val="single" w:color="B9B6CF" w:sz="6" w:space="1"/>
        </w:pBdr>
        <w:spacing w:before="120" w:after="60"/>
      </w:pPr>
      <w:r>
        <w:rPr>
          <w:rFonts w:ascii="Calibri" w:cs="Calibri" w:eastAsia="Calibri" w:hAnsi="Calibri"/>
          <w:b/>
          <w:bCs/>
          <w:color w:val="1A1640"/>
          <w:sz w:val="22"/>
          <w:szCs w:val="22"/>
        </w:rPr>
        <w:t xml:space="preserve">Applicants who passed screening (%):  </w:t>
      </w:r>
    </w:p>
    <w:p>
      <w:pPr>
        <w:pBdr>
          <w:bottom w:val="single" w:color="B9B6CF" w:sz="6" w:space="1"/>
        </w:pBdr>
        <w:spacing w:before="120" w:after="60"/>
      </w:pPr>
      <w:r>
        <w:rPr>
          <w:rFonts w:ascii="Calibri" w:cs="Calibri" w:eastAsia="Calibri" w:hAnsi="Calibri"/>
          <w:b/>
          <w:bCs/>
          <w:color w:val="1A1640"/>
          <w:sz w:val="22"/>
          <w:szCs w:val="22"/>
        </w:rPr>
        <w:t xml:space="preserve">Screened candidates who interviewed (%):  </w:t>
      </w:r>
    </w:p>
    <w:p>
      <w:pPr>
        <w:pBdr>
          <w:bottom w:val="single" w:color="B9B6CF" w:sz="6" w:space="1"/>
        </w:pBdr>
        <w:spacing w:before="120" w:after="60"/>
      </w:pPr>
      <w:r>
        <w:rPr>
          <w:rFonts w:ascii="Calibri" w:cs="Calibri" w:eastAsia="Calibri" w:hAnsi="Calibri"/>
          <w:b/>
          <w:bCs/>
          <w:color w:val="1A1640"/>
          <w:sz w:val="22"/>
          <w:szCs w:val="22"/>
        </w:rPr>
        <w:t xml:space="preserve">Interview show rate (%):  </w:t>
      </w:r>
    </w:p>
    <w:p>
      <w:pPr>
        <w:pBdr>
          <w:bottom w:val="single" w:color="B9B6CF" w:sz="6" w:space="1"/>
        </w:pBdr>
        <w:spacing w:before="120" w:after="60"/>
      </w:pPr>
      <w:r>
        <w:rPr>
          <w:rFonts w:ascii="Calibri" w:cs="Calibri" w:eastAsia="Calibri" w:hAnsi="Calibri"/>
          <w:b/>
          <w:bCs/>
          <w:color w:val="1A1640"/>
          <w:sz w:val="22"/>
          <w:szCs w:val="22"/>
        </w:rPr>
        <w:t xml:space="preserve">Interviewed candidates who received an offer (%):  </w:t>
      </w:r>
    </w:p>
    <w:p>
      <w:pPr>
        <w:pBdr>
          <w:bottom w:val="single" w:color="B9B6CF" w:sz="6" w:space="1"/>
        </w:pBdr>
        <w:spacing w:before="120" w:after="60"/>
      </w:pPr>
      <w:r>
        <w:rPr>
          <w:rFonts w:ascii="Calibri" w:cs="Calibri" w:eastAsia="Calibri" w:hAnsi="Calibri"/>
          <w:b/>
          <w:bCs/>
          <w:color w:val="1A1640"/>
          <w:sz w:val="22"/>
          <w:szCs w:val="22"/>
        </w:rPr>
        <w:t xml:space="preserve">Offer acceptance rate (%):  </w:t>
      </w:r>
    </w:p>
    <w:p>
      <w:pPr>
        <w:pBdr>
          <w:bottom w:val="single" w:color="B9B6CF" w:sz="6" w:space="1"/>
        </w:pBdr>
        <w:spacing w:before="120" w:after="60"/>
      </w:pPr>
      <w:r>
        <w:rPr>
          <w:rFonts w:ascii="Calibri" w:cs="Calibri" w:eastAsia="Calibri" w:hAnsi="Calibri"/>
          <w:b/>
          <w:bCs/>
          <w:color w:val="1A1640"/>
          <w:sz w:val="22"/>
          <w:szCs w:val="22"/>
        </w:rPr>
        <w:t xml:space="preserve">Accepted offers who started (%):  </w:t>
      </w:r>
    </w:p>
    <w:p>
      <w:pPr>
        <w:pBdr>
          <w:bottom w:val="single" w:color="B9B6CF" w:sz="6" w:space="1"/>
        </w:pBdr>
        <w:spacing w:before="120" w:after="60"/>
      </w:pPr>
      <w:r>
        <w:rPr>
          <w:rFonts w:ascii="Calibri" w:cs="Calibri" w:eastAsia="Calibri" w:hAnsi="Calibri"/>
          <w:b/>
          <w:bCs/>
          <w:color w:val="1A1640"/>
          <w:sz w:val="22"/>
          <w:szCs w:val="22"/>
        </w:rPr>
        <w:t xml:space="preserve">Applicants per hire:  </w:t>
      </w:r>
    </w:p>
    <w:p>
      <w:pPr>
        <w:spacing w:before="120" w:after="60"/>
      </w:pPr>
      <w:r>
        <w:rPr>
          <w:rFonts w:ascii="Calibri" w:cs="Calibri" w:eastAsia="Calibri" w:hAnsi="Calibri"/>
          <w:b/>
          <w:bCs/>
          <w:color w:val="1A1640"/>
          <w:sz w:val="22"/>
          <w:szCs w:val="22"/>
        </w:rPr>
        <w:t xml:space="preserve">Biggest drop-off stage and likely cause: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QUALITY</w:t>
      </w:r>
    </w:p>
    <w:p>
      <w:pPr>
        <w:pBdr>
          <w:bottom w:val="single" w:color="B9B6CF" w:sz="6" w:space="1"/>
        </w:pBdr>
        <w:spacing w:before="120" w:after="60"/>
      </w:pPr>
      <w:r>
        <w:rPr>
          <w:rFonts w:ascii="Calibri" w:cs="Calibri" w:eastAsia="Calibri" w:hAnsi="Calibri"/>
          <w:b/>
          <w:bCs/>
          <w:color w:val="1A1640"/>
          <w:sz w:val="22"/>
          <w:szCs w:val="22"/>
        </w:rPr>
        <w:t xml:space="preserve">New hires still employed at 30 days (%):  </w:t>
      </w:r>
    </w:p>
    <w:p>
      <w:pPr>
        <w:pBdr>
          <w:bottom w:val="single" w:color="B9B6CF" w:sz="6" w:space="1"/>
        </w:pBdr>
        <w:spacing w:before="120" w:after="60"/>
      </w:pPr>
      <w:r>
        <w:rPr>
          <w:rFonts w:ascii="Calibri" w:cs="Calibri" w:eastAsia="Calibri" w:hAnsi="Calibri"/>
          <w:b/>
          <w:bCs/>
          <w:color w:val="1A1640"/>
          <w:sz w:val="22"/>
          <w:szCs w:val="22"/>
        </w:rPr>
        <w:t xml:space="preserve">New hires still employed at 90 days (%):  </w:t>
      </w:r>
    </w:p>
    <w:p>
      <w:pPr>
        <w:pBdr>
          <w:bottom w:val="single" w:color="B9B6CF" w:sz="6" w:space="1"/>
        </w:pBdr>
        <w:spacing w:before="120" w:after="60"/>
      </w:pPr>
      <w:r>
        <w:rPr>
          <w:rFonts w:ascii="Calibri" w:cs="Calibri" w:eastAsia="Calibri" w:hAnsi="Calibri"/>
          <w:b/>
          <w:bCs/>
          <w:color w:val="1A1640"/>
          <w:sz w:val="22"/>
          <w:szCs w:val="22"/>
        </w:rPr>
        <w:t xml:space="preserve">Training or nesting completion rate (%):  </w:t>
      </w:r>
    </w:p>
    <w:p>
      <w:pPr>
        <w:pBdr>
          <w:bottom w:val="single" w:color="B9B6CF" w:sz="6" w:space="1"/>
        </w:pBdr>
        <w:spacing w:before="120" w:after="60"/>
      </w:pPr>
      <w:r>
        <w:rPr>
          <w:rFonts w:ascii="Calibri" w:cs="Calibri" w:eastAsia="Calibri" w:hAnsi="Calibri"/>
          <w:b/>
          <w:bCs/>
          <w:color w:val="1A1640"/>
          <w:sz w:val="22"/>
          <w:szCs w:val="22"/>
        </w:rPr>
        <w:t xml:space="preserve">Hiring manager satisfaction score:  </w:t>
      </w:r>
    </w:p>
    <w:p>
      <w:pPr>
        <w:pBdr>
          <w:bottom w:val="single" w:color="B9B6CF" w:sz="6" w:space="1"/>
        </w:pBdr>
        <w:spacing w:before="120" w:after="60"/>
      </w:pPr>
      <w:r>
        <w:rPr>
          <w:rFonts w:ascii="Calibri" w:cs="Calibri" w:eastAsia="Calibri" w:hAnsi="Calibri"/>
          <w:b/>
          <w:bCs/>
          <w:color w:val="1A1640"/>
          <w:sz w:val="22"/>
          <w:szCs w:val="22"/>
        </w:rPr>
        <w:t xml:space="preserve">Quality of hire indicator (e.g. 90-day performance rating or ramp to target):  </w:t>
      </w:r>
    </w:p>
    <w:p>
      <w:pPr>
        <w:pBdr>
          <w:bottom w:val="single" w:color="1A1640" w:sz="12" w:space="2"/>
        </w:pBdr>
        <w:spacing w:before="280" w:after="120"/>
      </w:pPr>
      <w:r>
        <w:rPr>
          <w:rFonts w:ascii="Calibri" w:cs="Calibri" w:eastAsia="Calibri" w:hAnsi="Calibri"/>
          <w:b/>
          <w:bCs/>
          <w:color w:val="1A1640"/>
          <w:sz w:val="20"/>
          <w:szCs w:val="20"/>
        </w:rPr>
        <w:t xml:space="preserve">COST</w:t>
      </w:r>
    </w:p>
    <w:p>
      <w:pPr>
        <w:pBdr>
          <w:bottom w:val="single" w:color="B9B6CF" w:sz="6" w:space="1"/>
        </w:pBdr>
        <w:spacing w:before="120" w:after="60"/>
      </w:pPr>
      <w:r>
        <w:rPr>
          <w:rFonts w:ascii="Calibri" w:cs="Calibri" w:eastAsia="Calibri" w:hAnsi="Calibri"/>
          <w:b/>
          <w:bCs/>
          <w:color w:val="1A1640"/>
          <w:sz w:val="22"/>
          <w:szCs w:val="22"/>
        </w:rPr>
        <w:t xml:space="preserve">Total recruiting spend in period:  </w:t>
      </w:r>
    </w:p>
    <w:p>
      <w:pPr>
        <w:pBdr>
          <w:bottom w:val="single" w:color="B9B6CF" w:sz="6" w:space="1"/>
        </w:pBdr>
        <w:spacing w:before="120" w:after="60"/>
      </w:pPr>
      <w:r>
        <w:rPr>
          <w:rFonts w:ascii="Calibri" w:cs="Calibri" w:eastAsia="Calibri" w:hAnsi="Calibri"/>
          <w:b/>
          <w:bCs/>
          <w:color w:val="1A1640"/>
          <w:sz w:val="22"/>
          <w:szCs w:val="22"/>
        </w:rPr>
        <w:t xml:space="preserve">Cost per hire (internal + external ÷ hires):  </w:t>
      </w:r>
    </w:p>
    <w:p>
      <w:pPr>
        <w:pBdr>
          <w:bottom w:val="single" w:color="B9B6CF" w:sz="6" w:space="1"/>
        </w:pBdr>
        <w:spacing w:before="120" w:after="60"/>
      </w:pPr>
      <w:r>
        <w:rPr>
          <w:rFonts w:ascii="Calibri" w:cs="Calibri" w:eastAsia="Calibri" w:hAnsi="Calibri"/>
          <w:b/>
          <w:bCs/>
          <w:color w:val="1A1640"/>
          <w:sz w:val="22"/>
          <w:szCs w:val="22"/>
        </w:rPr>
        <w:t xml:space="preserve">Advertising cost per applicant:  </w:t>
      </w:r>
    </w:p>
    <w:p>
      <w:pPr>
        <w:pBdr>
          <w:bottom w:val="single" w:color="B9B6CF" w:sz="6" w:space="1"/>
        </w:pBdr>
        <w:spacing w:before="120" w:after="60"/>
      </w:pPr>
      <w:r>
        <w:rPr>
          <w:rFonts w:ascii="Calibri" w:cs="Calibri" w:eastAsia="Calibri" w:hAnsi="Calibri"/>
          <w:b/>
          <w:bCs/>
          <w:color w:val="1A1640"/>
          <w:sz w:val="22"/>
          <w:szCs w:val="22"/>
        </w:rPr>
        <w:t xml:space="preserve">Agency spend and number of agency hires:  </w:t>
      </w:r>
    </w:p>
    <w:p>
      <w:pPr>
        <w:pBdr>
          <w:bottom w:val="single" w:color="B9B6CF" w:sz="6" w:space="1"/>
        </w:pBdr>
        <w:spacing w:before="120" w:after="60"/>
      </w:pPr>
      <w:r>
        <w:rPr>
          <w:rFonts w:ascii="Calibri" w:cs="Calibri" w:eastAsia="Calibri" w:hAnsi="Calibri"/>
          <w:b/>
          <w:bCs/>
          <w:color w:val="1A1640"/>
          <w:sz w:val="22"/>
          <w:szCs w:val="22"/>
        </w:rPr>
        <w:t xml:space="preserve">Spend versus budget (%):  </w:t>
      </w:r>
    </w:p>
    <w:p>
      <w:pPr>
        <w:pBdr>
          <w:bottom w:val="single" w:color="1A1640" w:sz="12" w:space="2"/>
        </w:pBdr>
        <w:spacing w:before="280" w:after="120"/>
      </w:pPr>
      <w:r>
        <w:rPr>
          <w:rFonts w:ascii="Calibri" w:cs="Calibri" w:eastAsia="Calibri" w:hAnsi="Calibri"/>
          <w:b/>
          <w:bCs/>
          <w:color w:val="1A1640"/>
          <w:sz w:val="20"/>
          <w:szCs w:val="20"/>
        </w:rPr>
        <w:t xml:space="preserve">SOURCE OF HIRE</w:t>
      </w:r>
    </w:p>
    <w:p>
      <w:pPr>
        <w:spacing w:before="120" w:after="60"/>
      </w:pPr>
      <w:r>
        <w:rPr>
          <w:rFonts w:ascii="Calibri" w:cs="Calibri" w:eastAsia="Calibri" w:hAnsi="Calibri"/>
          <w:b/>
          <w:bCs/>
          <w:color w:val="1A1640"/>
          <w:sz w:val="22"/>
          <w:szCs w:val="22"/>
        </w:rPr>
        <w:t xml:space="preserve">Hires by source (job boards, careers site, referrals, agency, internal, events, sourcing, rehires):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Source with the best applicant-to-hire conversion:  </w:t>
      </w:r>
    </w:p>
    <w:p>
      <w:pPr>
        <w:pBdr>
          <w:bottom w:val="single" w:color="B9B6CF" w:sz="6" w:space="1"/>
        </w:pBdr>
        <w:spacing w:before="120" w:after="60"/>
      </w:pPr>
      <w:r>
        <w:rPr>
          <w:rFonts w:ascii="Calibri" w:cs="Calibri" w:eastAsia="Calibri" w:hAnsi="Calibri"/>
          <w:b/>
          <w:bCs/>
          <w:color w:val="1A1640"/>
          <w:sz w:val="22"/>
          <w:szCs w:val="22"/>
        </w:rPr>
        <w:t xml:space="preserve">Source with the best 90-day retention:  </w:t>
      </w:r>
    </w:p>
    <w:p>
      <w:pPr>
        <w:pBdr>
          <w:bottom w:val="single" w:color="B9B6CF" w:sz="6" w:space="1"/>
        </w:pBdr>
        <w:spacing w:before="120" w:after="60"/>
      </w:pPr>
      <w:r>
        <w:rPr>
          <w:rFonts w:ascii="Calibri" w:cs="Calibri" w:eastAsia="Calibri" w:hAnsi="Calibri"/>
          <w:b/>
          <w:bCs/>
          <w:color w:val="1A1640"/>
          <w:sz w:val="22"/>
          <w:szCs w:val="22"/>
        </w:rPr>
        <w:t xml:space="preserve">Source to cut or increase next period:  </w:t>
      </w:r>
    </w:p>
    <w:p>
      <w:pPr>
        <w:pBdr>
          <w:bottom w:val="single" w:color="1A1640" w:sz="12" w:space="2"/>
        </w:pBdr>
        <w:spacing w:before="280" w:after="120"/>
      </w:pPr>
      <w:r>
        <w:rPr>
          <w:rFonts w:ascii="Calibri" w:cs="Calibri" w:eastAsia="Calibri" w:hAnsi="Calibri"/>
          <w:b/>
          <w:bCs/>
          <w:color w:val="1A1640"/>
          <w:sz w:val="20"/>
          <w:szCs w:val="20"/>
        </w:rPr>
        <w:t xml:space="preserve">CANDIDATE EXPERIENCE AND DIVERSITY</w:t>
      </w:r>
    </w:p>
    <w:p>
      <w:pPr>
        <w:pBdr>
          <w:bottom w:val="single" w:color="B9B6CF" w:sz="6" w:space="1"/>
        </w:pBdr>
        <w:spacing w:before="120" w:after="60"/>
      </w:pPr>
      <w:r>
        <w:rPr>
          <w:rFonts w:ascii="Calibri" w:cs="Calibri" w:eastAsia="Calibri" w:hAnsi="Calibri"/>
          <w:b/>
          <w:bCs/>
          <w:color w:val="1A1640"/>
          <w:sz w:val="22"/>
          <w:szCs w:val="22"/>
        </w:rPr>
        <w:t xml:space="preserve">Candidate satisfaction or Net Promoter Score:  </w:t>
      </w:r>
    </w:p>
    <w:p>
      <w:pPr>
        <w:pBdr>
          <w:bottom w:val="single" w:color="B9B6CF" w:sz="6" w:space="1"/>
        </w:pBdr>
        <w:spacing w:before="120" w:after="60"/>
      </w:pPr>
      <w:r>
        <w:rPr>
          <w:rFonts w:ascii="Calibri" w:cs="Calibri" w:eastAsia="Calibri" w:hAnsi="Calibri"/>
          <w:b/>
          <w:bCs/>
          <w:color w:val="1A1640"/>
          <w:sz w:val="22"/>
          <w:szCs w:val="22"/>
        </w:rPr>
        <w:t xml:space="preserve">Application completion rate (%):  </w:t>
      </w:r>
    </w:p>
    <w:p>
      <w:pPr>
        <w:spacing w:before="120" w:after="60"/>
      </w:pPr>
      <w:r>
        <w:rPr>
          <w:rFonts w:ascii="Calibri" w:cs="Calibri" w:eastAsia="Calibri" w:hAnsi="Calibri"/>
          <w:b/>
          <w:bCs/>
          <w:color w:val="1A1640"/>
          <w:sz w:val="22"/>
          <w:szCs w:val="22"/>
        </w:rPr>
        <w:t xml:space="preserve">Candidates who withdrew, with top reasons: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Aggregate applicant and hire demographics from voluntary self-identification (no individual data):</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Stages with a selection rate gap to review: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ACTIONS</w:t>
      </w:r>
    </w:p>
    <w:p>
      <w:pPr>
        <w:spacing w:before="120" w:after="60"/>
      </w:pPr>
      <w:r>
        <w:rPr>
          <w:rFonts w:ascii="Calibri" w:cs="Calibri" w:eastAsia="Calibri" w:hAnsi="Calibri"/>
          <w:b/>
          <w:bCs/>
          <w:color w:val="1A1640"/>
          <w:sz w:val="22"/>
          <w:szCs w:val="22"/>
        </w:rPr>
        <w:t xml:space="preserve">Actions agreed last month and status: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New actions, owners and due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Forecast for next month (hires, open requisitions, risks):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METRIC DEFINITIONS USED IN THIS REPORT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Time to fill: calendar days from requisition approval to offer acceptance.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Time to hire: calendar days from the candidate's application to offer acceptance.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Time to start: calendar days from offer acceptance to first day of work.</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Offer acceptance rate: offers accepted ÷ offers extended in the period.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Cost per hire: (internal recruiting costs + external recruiting costs) ÷ hires in the period.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90-day retention: hires from the cohort that started 90+ days ago who are still employed ÷ total hires in that cohort.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Source of hire: the source recorded on the hired candidate's application, using one agreed list of source values.</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Recruitment Metrics Report</dc:title>
  <dc:creator>TapTalent</dc:creator>
  <cp:lastModifiedBy>Un-named</cp:lastModifiedBy>
  <cp:revision>1</cp:revision>
  <dcterms:created xsi:type="dcterms:W3CDTF">2026-11-08T07:40:29.604Z</dcterms:created>
  <dcterms:modified xsi:type="dcterms:W3CDTF">2026-11-08T07:40:29.604Z</dcterms:modified>
</cp:coreProperties>
</file>

<file path=docProps/custom.xml><?xml version="1.0" encoding="utf-8"?>
<Properties xmlns="http://schemas.openxmlformats.org/officeDocument/2006/custom-properties" xmlns:vt="http://schemas.openxmlformats.org/officeDocument/2006/docPropsVTypes"/>
</file>