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Agent Performance Scorecard</w:t>
      </w:r>
    </w:p>
    <w:p>
      <w:pPr>
        <w:spacing w:after="240"/>
        <w:jc w:val="center"/>
      </w:pPr>
      <w:r>
        <w:rPr>
          <w:rFonts w:ascii="Calibri" w:cs="Calibri" w:eastAsia="Calibri" w:hAnsi="Calibri"/>
          <w:color w:val="5E5A80"/>
          <w:sz w:val="22"/>
          <w:szCs w:val="22"/>
        </w:rPr>
        <w:t xml:space="preserve">Complete once per review period from system reports, not memory. For each metric, enter the actual result, convert it to points using the target bands, and multiply by the weight. Weights must add up to 100%. Exclude time the agent spent in approved training, coaching or system outages from productivity metrics.</w:t>
      </w:r>
    </w:p>
    <w:p>
      <w:pPr>
        <w:pBdr>
          <w:bottom w:val="single" w:color="1A1640" w:sz="12" w:space="2"/>
        </w:pBdr>
        <w:spacing w:before="280" w:after="120"/>
      </w:pPr>
      <w:r>
        <w:rPr>
          <w:rFonts w:ascii="Calibri" w:cs="Calibri" w:eastAsia="Calibri" w:hAnsi="Calibri"/>
          <w:b/>
          <w:bCs/>
          <w:color w:val="1A1640"/>
          <w:sz w:val="20"/>
          <w:szCs w:val="20"/>
        </w:rPr>
        <w:t xml:space="preserve">AGENT AND PERIOD</w:t>
      </w:r>
    </w:p>
    <w:p>
      <w:pPr>
        <w:pBdr>
          <w:bottom w:val="single" w:color="B9B6CF" w:sz="6" w:space="1"/>
        </w:pBdr>
        <w:spacing w:before="120" w:after="60"/>
      </w:pPr>
      <w:r>
        <w:rPr>
          <w:rFonts w:ascii="Calibri" w:cs="Calibri" w:eastAsia="Calibri" w:hAnsi="Calibri"/>
          <w:b/>
          <w:bCs/>
          <w:color w:val="1A1640"/>
          <w:sz w:val="22"/>
          <w:szCs w:val="22"/>
        </w:rPr>
        <w:t xml:space="preserve">Agent name:  </w:t>
      </w:r>
    </w:p>
    <w:p>
      <w:pPr>
        <w:pBdr>
          <w:bottom w:val="single" w:color="B9B6CF" w:sz="6" w:space="1"/>
        </w:pBdr>
        <w:spacing w:before="120" w:after="60"/>
      </w:pPr>
      <w:r>
        <w:rPr>
          <w:rFonts w:ascii="Calibri" w:cs="Calibri" w:eastAsia="Calibri" w:hAnsi="Calibri"/>
          <w:b/>
          <w:bCs/>
          <w:color w:val="1A1640"/>
          <w:sz w:val="22"/>
          <w:szCs w:val="22"/>
        </w:rPr>
        <w:t xml:space="preserve">Agent ID:  </w:t>
      </w:r>
    </w:p>
    <w:p>
      <w:pPr>
        <w:pBdr>
          <w:bottom w:val="single" w:color="B9B6CF" w:sz="6" w:space="1"/>
        </w:pBdr>
        <w:spacing w:before="120" w:after="60"/>
      </w:pPr>
      <w:r>
        <w:rPr>
          <w:rFonts w:ascii="Calibri" w:cs="Calibri" w:eastAsia="Calibri" w:hAnsi="Calibri"/>
          <w:b/>
          <w:bCs/>
          <w:color w:val="1A1640"/>
          <w:sz w:val="22"/>
          <w:szCs w:val="22"/>
        </w:rPr>
        <w:t xml:space="preserve">Team lead / supervisor:  </w:t>
      </w:r>
    </w:p>
    <w:p>
      <w:pPr>
        <w:pBdr>
          <w:bottom w:val="single" w:color="B9B6CF" w:sz="6" w:space="1"/>
        </w:pBdr>
        <w:spacing w:before="120" w:after="60"/>
      </w:pPr>
      <w:r>
        <w:rPr>
          <w:rFonts w:ascii="Calibri" w:cs="Calibri" w:eastAsia="Calibri" w:hAnsi="Calibri"/>
          <w:b/>
          <w:bCs/>
          <w:color w:val="1A1640"/>
          <w:sz w:val="22"/>
          <w:szCs w:val="22"/>
        </w:rPr>
        <w:t xml:space="preserve">Site / program / queue:  </w:t>
      </w:r>
    </w:p>
    <w:p>
      <w:pPr>
        <w:spacing w:after="120"/>
      </w:pPr>
      <w:r>
        <w:rPr>
          <w:rFonts w:ascii="Calibri" w:cs="Calibri" w:eastAsia="Calibri" w:hAnsi="Calibri"/>
          <w:b/>
          <w:bCs/>
          <w:color w:val="1A1640"/>
          <w:sz w:val="22"/>
          <w:szCs w:val="22"/>
        </w:rPr>
        <w:t xml:space="preserve">Tenure band:   </w:t>
      </w:r>
      <w:r>
        <w:rPr>
          <w:rFonts w:ascii="Calibri" w:cs="Calibri" w:eastAsia="Calibri" w:hAnsi="Calibri"/>
          <w:color w:val="1A1640"/>
          <w:sz w:val="22"/>
          <w:szCs w:val="22"/>
        </w:rPr>
        <w:t xml:space="preserve">☐ Nesting (0-30 days on floor)     ☐ 31-90 days     ☐ 91-180 days     ☐ Over 180 days</w:t>
      </w:r>
    </w:p>
    <w:p>
      <w:pPr>
        <w:pBdr>
          <w:bottom w:val="single" w:color="B9B6CF" w:sz="6" w:space="1"/>
        </w:pBdr>
        <w:spacing w:before="120" w:after="60"/>
      </w:pPr>
      <w:r>
        <w:rPr>
          <w:rFonts w:ascii="Calibri" w:cs="Calibri" w:eastAsia="Calibri" w:hAnsi="Calibri"/>
          <w:b/>
          <w:bCs/>
          <w:color w:val="1A1640"/>
          <w:sz w:val="22"/>
          <w:szCs w:val="22"/>
        </w:rPr>
        <w:t xml:space="preserve">Review period start:  </w:t>
      </w:r>
    </w:p>
    <w:p>
      <w:pPr>
        <w:pBdr>
          <w:bottom w:val="single" w:color="B9B6CF" w:sz="6" w:space="1"/>
        </w:pBdr>
        <w:spacing w:before="120" w:after="60"/>
      </w:pPr>
      <w:r>
        <w:rPr>
          <w:rFonts w:ascii="Calibri" w:cs="Calibri" w:eastAsia="Calibri" w:hAnsi="Calibri"/>
          <w:b/>
          <w:bCs/>
          <w:color w:val="1A1640"/>
          <w:sz w:val="22"/>
          <w:szCs w:val="22"/>
        </w:rPr>
        <w:t xml:space="preserve">Review period end:  </w:t>
      </w:r>
    </w:p>
    <w:p>
      <w:pPr>
        <w:pBdr>
          <w:bottom w:val="single" w:color="B9B6CF" w:sz="6" w:space="1"/>
        </w:pBdr>
        <w:spacing w:before="120" w:after="60"/>
      </w:pPr>
      <w:r>
        <w:rPr>
          <w:rFonts w:ascii="Calibri" w:cs="Calibri" w:eastAsia="Calibri" w:hAnsi="Calibri"/>
          <w:b/>
          <w:bCs/>
          <w:color w:val="1A1640"/>
          <w:sz w:val="22"/>
          <w:szCs w:val="22"/>
        </w:rPr>
        <w:t xml:space="preserve">Contacts handled in period:  </w:t>
      </w:r>
    </w:p>
    <w:p>
      <w:pPr>
        <w:pBdr>
          <w:bottom w:val="single" w:color="B9B6CF" w:sz="6" w:space="1"/>
        </w:pBdr>
        <w:spacing w:before="120" w:after="60"/>
      </w:pPr>
      <w:r>
        <w:rPr>
          <w:rFonts w:ascii="Calibri" w:cs="Calibri" w:eastAsia="Calibri" w:hAnsi="Calibri"/>
          <w:b/>
          <w:bCs/>
          <w:color w:val="1A1640"/>
          <w:sz w:val="22"/>
          <w:szCs w:val="22"/>
        </w:rPr>
        <w:t xml:space="preserve">QA evaluations completed in period:  </w:t>
      </w:r>
    </w:p>
    <w:p>
      <w:pPr>
        <w:pBdr>
          <w:bottom w:val="single" w:color="1A1640" w:sz="12" w:space="2"/>
        </w:pBdr>
        <w:spacing w:before="280" w:after="120"/>
      </w:pPr>
      <w:r>
        <w:rPr>
          <w:rFonts w:ascii="Calibri" w:cs="Calibri" w:eastAsia="Calibri" w:hAnsi="Calibri"/>
          <w:b/>
          <w:bCs/>
          <w:color w:val="1A1640"/>
          <w:sz w:val="20"/>
          <w:szCs w:val="20"/>
        </w:rPr>
        <w:t xml:space="preserve">POINTS SCALE (APPLY TO EVERY METRIC)</w:t>
      </w:r>
    </w:p>
    <w:p>
      <w:pPr>
        <w:spacing w:after="120"/>
      </w:pPr>
      <w:r>
        <w:rPr>
          <w:rFonts w:ascii="Calibri" w:cs="Calibri" w:eastAsia="Calibri" w:hAnsi="Calibri"/>
          <w:color w:val="1A1640"/>
          <w:sz w:val="22"/>
          <w:szCs w:val="22"/>
        </w:rPr>
        <w:t xml:space="preserve">5 = Well above target (top band). 4 = Above target. 3 = At target. 2 = Below target. 1 = Well below target.</w:t>
      </w:r>
    </w:p>
    <w:p>
      <w:pPr>
        <w:spacing w:after="120"/>
      </w:pPr>
      <w:r>
        <w:rPr>
          <w:rFonts w:ascii="Calibri" w:cs="Calibri" w:eastAsia="Calibri" w:hAnsi="Calibri"/>
          <w:color w:val="1A1640"/>
          <w:sz w:val="22"/>
          <w:szCs w:val="22"/>
        </w:rPr>
        <w:t xml:space="preserve">Set the bands for each metric before the period starts and publish them to agents. Example bands for QA score: 5 = 95% and above, 4 = 90-94.9%, 3 = 85-89.9%, 2 = 80-84.9%, 1 = under 80%.</w:t>
      </w:r>
    </w:p>
    <w:p>
      <w:pPr>
        <w:spacing w:after="120"/>
      </w:pPr>
      <w:r>
        <w:rPr>
          <w:rFonts w:ascii="Calibri" w:cs="Calibri" w:eastAsia="Calibri" w:hAnsi="Calibri"/>
          <w:color w:val="1A1640"/>
          <w:sz w:val="22"/>
          <w:szCs w:val="22"/>
        </w:rPr>
        <w:t xml:space="preserve">For metrics where lower is better (handle time, absences), the bands run the other way.</w:t>
      </w:r>
    </w:p>
    <w:p>
      <w:pPr>
        <w:pBdr>
          <w:bottom w:val="single" w:color="1A1640" w:sz="12" w:space="2"/>
        </w:pBdr>
        <w:spacing w:before="280" w:after="120"/>
      </w:pPr>
      <w:r>
        <w:rPr>
          <w:rFonts w:ascii="Calibri" w:cs="Calibri" w:eastAsia="Calibri" w:hAnsi="Calibri"/>
          <w:b/>
          <w:bCs/>
          <w:color w:val="1A1640"/>
          <w:sz w:val="20"/>
          <w:szCs w:val="20"/>
        </w:rPr>
        <w:t xml:space="preserve">QUALITY AND CUSTOMER METRICS</w:t>
      </w:r>
    </w:p>
    <w:p>
      <w:pPr>
        <w:pBdr>
          <w:bottom w:val="single" w:color="B9B6CF" w:sz="6" w:space="1"/>
        </w:pBdr>
        <w:spacing w:before="120" w:after="60"/>
      </w:pPr>
      <w:r>
        <w:rPr>
          <w:rFonts w:ascii="Calibri" w:cs="Calibri" w:eastAsia="Calibri" w:hAnsi="Calibri"/>
          <w:b/>
          <w:bCs/>
          <w:color w:val="1A1640"/>
          <w:sz w:val="22"/>
          <w:szCs w:val="22"/>
        </w:rPr>
        <w:t xml:space="preserve">QA score average: target [85]% | actual | points 1-5 | weight [30]%:  </w:t>
      </w:r>
    </w:p>
    <w:p>
      <w:pPr>
        <w:pBdr>
          <w:bottom w:val="single" w:color="B9B6CF" w:sz="6" w:space="1"/>
        </w:pBdr>
        <w:spacing w:before="120" w:after="60"/>
      </w:pPr>
      <w:r>
        <w:rPr>
          <w:rFonts w:ascii="Calibri" w:cs="Calibri" w:eastAsia="Calibri" w:hAnsi="Calibri"/>
          <w:b/>
          <w:bCs/>
          <w:color w:val="1A1640"/>
          <w:sz w:val="22"/>
          <w:szCs w:val="22"/>
        </w:rPr>
        <w:t xml:space="preserve">Customer satisfaction (CSAT) or NPS: target [__] | actual | points 1-5 | weight [20]%:  </w:t>
      </w:r>
    </w:p>
    <w:p>
      <w:pPr>
        <w:pBdr>
          <w:bottom w:val="single" w:color="B9B6CF" w:sz="6" w:space="1"/>
        </w:pBdr>
        <w:spacing w:before="120" w:after="60"/>
      </w:pPr>
      <w:r>
        <w:rPr>
          <w:rFonts w:ascii="Calibri" w:cs="Calibri" w:eastAsia="Calibri" w:hAnsi="Calibri"/>
          <w:b/>
          <w:bCs/>
          <w:color w:val="1A1640"/>
          <w:sz w:val="22"/>
          <w:szCs w:val="22"/>
        </w:rPr>
        <w:t xml:space="preserve">First contact resolution (FCR) or repeat-contact rate: target [__]% | actual | points 1-5 | weight [15]%:  </w:t>
      </w:r>
    </w:p>
    <w:p>
      <w:pPr>
        <w:pBdr>
          <w:bottom w:val="single" w:color="B9B6CF" w:sz="6" w:space="1"/>
        </w:pBdr>
        <w:spacing w:before="120" w:after="60"/>
      </w:pPr>
      <w:r>
        <w:rPr>
          <w:rFonts w:ascii="Calibri" w:cs="Calibri" w:eastAsia="Calibri" w:hAnsi="Calibri"/>
          <w:b/>
          <w:bCs/>
          <w:color w:val="1A1640"/>
          <w:sz w:val="22"/>
          <w:szCs w:val="22"/>
        </w:rPr>
        <w:t xml:space="preserve">Compliance auto-fails in period (any = 1 point): actual | points 1-5:  </w:t>
      </w:r>
    </w:p>
    <w:p>
      <w:pPr>
        <w:pBdr>
          <w:bottom w:val="single" w:color="1A1640" w:sz="12" w:space="2"/>
        </w:pBdr>
        <w:spacing w:before="280" w:after="120"/>
      </w:pPr>
      <w:r>
        <w:rPr>
          <w:rFonts w:ascii="Calibri" w:cs="Calibri" w:eastAsia="Calibri" w:hAnsi="Calibri"/>
          <w:b/>
          <w:bCs/>
          <w:color w:val="1A1640"/>
          <w:sz w:val="20"/>
          <w:szCs w:val="20"/>
        </w:rPr>
        <w:t xml:space="preserve">EFFICIENCY AND RELIABILITY METRICS</w:t>
      </w:r>
    </w:p>
    <w:p>
      <w:pPr>
        <w:pBdr>
          <w:bottom w:val="single" w:color="B9B6CF" w:sz="6" w:space="1"/>
        </w:pBdr>
        <w:spacing w:before="120" w:after="60"/>
      </w:pPr>
      <w:r>
        <w:rPr>
          <w:rFonts w:ascii="Calibri" w:cs="Calibri" w:eastAsia="Calibri" w:hAnsi="Calibri"/>
          <w:b/>
          <w:bCs/>
          <w:color w:val="1A1640"/>
          <w:sz w:val="22"/>
          <w:szCs w:val="22"/>
        </w:rPr>
        <w:t xml:space="preserve">Average handle time (AHT): target [__] sec, acceptable range +/- [10]% | actual | points 1-5 | weight [10]%:  </w:t>
      </w:r>
    </w:p>
    <w:p>
      <w:pPr>
        <w:pBdr>
          <w:bottom w:val="single" w:color="B9B6CF" w:sz="6" w:space="1"/>
        </w:pBdr>
        <w:spacing w:before="120" w:after="60"/>
      </w:pPr>
      <w:r>
        <w:rPr>
          <w:rFonts w:ascii="Calibri" w:cs="Calibri" w:eastAsia="Calibri" w:hAnsi="Calibri"/>
          <w:b/>
          <w:bCs/>
          <w:color w:val="1A1640"/>
          <w:sz w:val="22"/>
          <w:szCs w:val="22"/>
        </w:rPr>
        <w:t xml:space="preserve">Schedule adherence: target [90]% | actual | points 1-5 | weight [15]%:  </w:t>
      </w:r>
    </w:p>
    <w:p>
      <w:pPr>
        <w:pBdr>
          <w:bottom w:val="single" w:color="B9B6CF" w:sz="6" w:space="1"/>
        </w:pBdr>
        <w:spacing w:before="120" w:after="60"/>
      </w:pPr>
      <w:r>
        <w:rPr>
          <w:rFonts w:ascii="Calibri" w:cs="Calibri" w:eastAsia="Calibri" w:hAnsi="Calibri"/>
          <w:b/>
          <w:bCs/>
          <w:color w:val="1A1640"/>
          <w:sz w:val="22"/>
          <w:szCs w:val="22"/>
        </w:rPr>
        <w:t xml:space="preserve">Attendance (unplanned absences / occurrences): target [__] or fewer | actual | points 1-5 | weight [10]%:  </w:t>
      </w:r>
    </w:p>
    <w:p>
      <w:pPr>
        <w:pBdr>
          <w:bottom w:val="single" w:color="B9B6CF" w:sz="6" w:space="1"/>
        </w:pBdr>
        <w:spacing w:before="120" w:after="60"/>
      </w:pPr>
      <w:r>
        <w:rPr>
          <w:rFonts w:ascii="Calibri" w:cs="Calibri" w:eastAsia="Calibri" w:hAnsi="Calibri"/>
          <w:b/>
          <w:bCs/>
          <w:color w:val="1A1640"/>
          <w:sz w:val="22"/>
          <w:szCs w:val="22"/>
        </w:rPr>
        <w:t xml:space="preserve">Optional program metric (sales conversion, collections, upsell): target | actual | points | weight:  </w:t>
      </w:r>
    </w:p>
    <w:p>
      <w:pPr>
        <w:pBdr>
          <w:bottom w:val="single" w:color="1A1640" w:sz="12" w:space="2"/>
        </w:pBdr>
        <w:spacing w:before="280" w:after="120"/>
      </w:pPr>
      <w:r>
        <w:rPr>
          <w:rFonts w:ascii="Calibri" w:cs="Calibri" w:eastAsia="Calibri" w:hAnsi="Calibri"/>
          <w:b/>
          <w:bCs/>
          <w:color w:val="1A1640"/>
          <w:sz w:val="20"/>
          <w:szCs w:val="20"/>
        </w:rPr>
        <w:t xml:space="preserve">SCORE CALCULATION</w:t>
      </w:r>
    </w:p>
    <w:p>
      <w:pPr>
        <w:pBdr>
          <w:bottom w:val="single" w:color="B9B6CF" w:sz="6" w:space="1"/>
        </w:pBdr>
        <w:spacing w:before="120" w:after="60"/>
      </w:pPr>
      <w:r>
        <w:rPr>
          <w:rFonts w:ascii="Calibri" w:cs="Calibri" w:eastAsia="Calibri" w:hAnsi="Calibri"/>
          <w:b/>
          <w:bCs/>
          <w:color w:val="1A1640"/>
          <w:sz w:val="22"/>
          <w:szCs w:val="22"/>
        </w:rPr>
        <w:t xml:space="preserve">Weighted score (sum of points x weight / 100), out of 5.00:  </w:t>
      </w:r>
    </w:p>
    <w:p>
      <w:pPr>
        <w:spacing w:after="120"/>
      </w:pPr>
      <w:r>
        <w:rPr>
          <w:rFonts w:ascii="Calibri" w:cs="Calibri" w:eastAsia="Calibri" w:hAnsi="Calibri"/>
          <w:b/>
          <w:bCs/>
          <w:color w:val="1A1640"/>
          <w:sz w:val="22"/>
          <w:szCs w:val="22"/>
        </w:rPr>
        <w:t xml:space="preserve">Overall rating:   </w:t>
      </w:r>
      <w:r>
        <w:rPr>
          <w:rFonts w:ascii="Calibri" w:cs="Calibri" w:eastAsia="Calibri" w:hAnsi="Calibri"/>
          <w:color w:val="1A1640"/>
          <w:sz w:val="22"/>
          <w:szCs w:val="22"/>
        </w:rPr>
        <w:t xml:space="preserve">☐ Outstanding (4.50-5.00)     ☐ Strong (3.75-4.49)     ☐ Meets (3.00-3.74)     ☐ Developing (2.25-2.99)     ☐ Below standard (under 2.25)</w:t>
      </w:r>
    </w:p>
    <w:p>
      <w:pPr>
        <w:pBdr>
          <w:bottom w:val="single" w:color="B9B6CF" w:sz="6" w:space="1"/>
        </w:pBdr>
        <w:spacing w:before="120" w:after="60"/>
      </w:pPr>
      <w:r>
        <w:rPr>
          <w:rFonts w:ascii="Calibri" w:cs="Calibri" w:eastAsia="Calibri" w:hAnsi="Calibri"/>
          <w:b/>
          <w:bCs/>
          <w:color w:val="1A1640"/>
          <w:sz w:val="22"/>
          <w:szCs w:val="22"/>
        </w:rPr>
        <w:t xml:space="preserve">Rank within team (optional):  </w:t>
      </w:r>
    </w:p>
    <w:p>
      <w:pPr>
        <w:spacing w:after="120"/>
      </w:pPr>
      <w:r>
        <w:rPr>
          <w:rFonts w:ascii="Calibri" w:cs="Calibri" w:eastAsia="Calibri" w:hAnsi="Calibri"/>
          <w:b/>
          <w:bCs/>
          <w:color w:val="1A1640"/>
          <w:sz w:val="22"/>
          <w:szCs w:val="22"/>
        </w:rPr>
        <w:t xml:space="preserve">Trend vs previous period:   </w:t>
      </w:r>
      <w:r>
        <w:rPr>
          <w:rFonts w:ascii="Calibri" w:cs="Calibri" w:eastAsia="Calibri" w:hAnsi="Calibri"/>
          <w:color w:val="1A1640"/>
          <w:sz w:val="22"/>
          <w:szCs w:val="22"/>
        </w:rPr>
        <w:t xml:space="preserve">☐ Improving     ☐ Stable     ☐ Declining     ☐ First period</w:t>
      </w:r>
    </w:p>
    <w:p>
      <w:pPr>
        <w:pBdr>
          <w:bottom w:val="single" w:color="1A1640" w:sz="12" w:space="2"/>
        </w:pBdr>
        <w:spacing w:before="280" w:after="120"/>
      </w:pPr>
      <w:r>
        <w:rPr>
          <w:rFonts w:ascii="Calibri" w:cs="Calibri" w:eastAsia="Calibri" w:hAnsi="Calibri"/>
          <w:b/>
          <w:bCs/>
          <w:color w:val="1A1640"/>
          <w:sz w:val="20"/>
          <w:szCs w:val="20"/>
        </w:rPr>
        <w:t xml:space="preserve">REVIEW CONVERSATION</w:t>
      </w:r>
    </w:p>
    <w:p>
      <w:pPr>
        <w:spacing w:before="120" w:after="60"/>
      </w:pPr>
      <w:r>
        <w:rPr>
          <w:rFonts w:ascii="Calibri" w:cs="Calibri" w:eastAsia="Calibri" w:hAnsi="Calibri"/>
          <w:b/>
          <w:bCs/>
          <w:color w:val="1A1640"/>
          <w:sz w:val="22"/>
          <w:szCs w:val="22"/>
        </w:rPr>
        <w:t xml:space="preserve">Biggest strength this period (with data):</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before="120" w:after="60"/>
      </w:pPr>
      <w:r>
        <w:rPr>
          <w:rFonts w:ascii="Calibri" w:cs="Calibri" w:eastAsia="Calibri" w:hAnsi="Calibri"/>
          <w:b/>
          <w:bCs/>
          <w:color w:val="1A1640"/>
          <w:sz w:val="22"/>
          <w:szCs w:val="22"/>
        </w:rPr>
        <w:t xml:space="preserve">Priority metric to improve next period:  </w:t>
      </w:r>
    </w:p>
    <w:p>
      <w:pPr>
        <w:spacing w:before="120" w:after="60"/>
      </w:pPr>
      <w:r>
        <w:rPr>
          <w:rFonts w:ascii="Calibri" w:cs="Calibri" w:eastAsia="Calibri" w:hAnsi="Calibri"/>
          <w:b/>
          <w:bCs/>
          <w:color w:val="1A1640"/>
          <w:sz w:val="22"/>
          <w:szCs w:val="22"/>
        </w:rPr>
        <w:t xml:space="preserve">Specific actions agreed (coaching, side-by-sides, refresher training):</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Support the supervisor will provide: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before="120" w:after="60"/>
      </w:pPr>
      <w:r>
        <w:rPr>
          <w:rFonts w:ascii="Calibri" w:cs="Calibri" w:eastAsia="Calibri" w:hAnsi="Calibri"/>
          <w:b/>
          <w:bCs/>
          <w:color w:val="1A1640"/>
          <w:sz w:val="22"/>
          <w:szCs w:val="22"/>
        </w:rPr>
        <w:t xml:space="preserve">Context the agent wants on record (system issues, queue changes, leave):</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pBdr>
          <w:bottom w:val="single" w:color="B9B6CF" w:sz="6" w:space="1"/>
        </w:pBdr>
        <w:spacing w:after="160"/>
      </w:pPr>
      <w:r>
        <w:rPr>
          <w:rFonts w:ascii="Calibri" w:cs="Calibri" w:eastAsia="Calibri" w:hAnsi="Calibri"/>
          <w:color w:val="1A1640"/>
          <w:sz w:val="22"/>
          <w:szCs w:val="22"/>
        </w:rPr>
        <w:t xml:space="preserve"> </w:t>
      </w:r>
    </w:p>
    <w:p>
      <w:pPr>
        <w:spacing w:after="120"/>
      </w:pPr>
      <w:r>
        <w:rPr>
          <w:rFonts w:ascii="Calibri" w:cs="Calibri" w:eastAsia="Calibri" w:hAnsi="Calibri"/>
          <w:b/>
          <w:bCs/>
          <w:color w:val="1A1640"/>
          <w:sz w:val="22"/>
          <w:szCs w:val="22"/>
        </w:rPr>
        <w:t xml:space="preserve">Eligible for incentive / recognition this period:   </w:t>
      </w:r>
      <w:r>
        <w:rPr>
          <w:rFonts w:ascii="Calibri" w:cs="Calibri" w:eastAsia="Calibri" w:hAnsi="Calibri"/>
          <w:color w:val="1A1640"/>
          <w:sz w:val="22"/>
          <w:szCs w:val="22"/>
        </w:rPr>
        <w:t xml:space="preserve">☐ Yes     ☐ No     ☐ Not applicable</w:t>
      </w:r>
    </w:p>
    <w:p>
      <w:pPr>
        <w:pBdr>
          <w:bottom w:val="single" w:color="B9B6CF" w:sz="6" w:space="1"/>
        </w:pBdr>
        <w:spacing w:before="120" w:after="60"/>
      </w:pPr>
      <w:r>
        <w:rPr>
          <w:rFonts w:ascii="Calibri" w:cs="Calibri" w:eastAsia="Calibri" w:hAnsi="Calibri"/>
          <w:b/>
          <w:bCs/>
          <w:color w:val="1A1640"/>
          <w:sz w:val="22"/>
          <w:szCs w:val="22"/>
        </w:rPr>
        <w:t xml:space="preserve">Next review date:  </w:t>
      </w:r>
    </w:p>
    <w:p>
      <w:pPr>
        <w:pBdr>
          <w:bottom w:val="single" w:color="B9B6CF" w:sz="6" w:space="1"/>
        </w:pBdr>
        <w:spacing w:before="280" w:after="60"/>
      </w:pPr>
      <w:r>
        <w:rPr>
          <w:rFonts w:ascii="Calibri" w:cs="Calibri" w:eastAsia="Calibri" w:hAnsi="Calibri"/>
          <w:b/>
          <w:bCs/>
          <w:color w:val="1A1640"/>
          <w:sz w:val="22"/>
          <w:szCs w:val="22"/>
        </w:rPr>
        <w:t xml:space="preserve">Agent signature (acknowledges review, not necessarily agreement):</w:t>
      </w:r>
      <w:r>
        <w:rPr>
          <w:rFonts w:ascii="Calibri" w:cs="Calibri" w:eastAsia="Calibri" w:hAnsi="Calibri"/>
          <w:b/>
          <w:bCs/>
          <w:color w:val="1A1640"/>
          <w:sz w:val="22"/>
          <w:szCs w:val="22"/>
        </w:rPr>
        <w:t xml:space="preserve">                                                            Date:</w:t>
      </w:r>
    </w:p>
    <w:p>
      <w:pPr>
        <w:pBdr>
          <w:bottom w:val="single" w:color="B9B6CF" w:sz="6" w:space="1"/>
        </w:pBdr>
        <w:spacing w:before="280" w:after="60"/>
      </w:pPr>
      <w:r>
        <w:rPr>
          <w:rFonts w:ascii="Calibri" w:cs="Calibri" w:eastAsia="Calibri" w:hAnsi="Calibri"/>
          <w:b/>
          <w:bCs/>
          <w:color w:val="1A1640"/>
          <w:sz w:val="22"/>
          <w:szCs w:val="22"/>
        </w:rPr>
        <w:t xml:space="preserve">Supervisor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Agent Performance Scorecard</dc:title>
  <dc:creator>TapTalent</dc:creator>
  <cp:lastModifiedBy>Un-named</cp:lastModifiedBy>
  <cp:revision>1</cp:revision>
  <dcterms:created xsi:type="dcterms:W3CDTF">2026-11-08T07:40:28.164Z</dcterms:created>
  <dcterms:modified xsi:type="dcterms:W3CDTF">2026-11-08T07:40:28.164Z</dcterms:modified>
</cp:coreProperties>
</file>

<file path=docProps/custom.xml><?xml version="1.0" encoding="utf-8"?>
<Properties xmlns="http://schemas.openxmlformats.org/officeDocument/2006/custom-properties" xmlns:vt="http://schemas.openxmlformats.org/officeDocument/2006/docPropsVTypes"/>
</file>